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FC090" w14:textId="36ABD92A" w:rsidR="00587351" w:rsidRPr="00572BF7" w:rsidRDefault="00587351" w:rsidP="00587351">
      <w:pPr>
        <w:pStyle w:val="aff2"/>
        <w:jc w:val="both"/>
        <w:rPr>
          <w:rFonts w:eastAsia="宋体"/>
          <w:lang w:eastAsia="zh-CN"/>
        </w:rPr>
      </w:pPr>
      <w:bookmarkStart w:id="0" w:name="_Ref399006623"/>
      <w:bookmarkStart w:id="1" w:name="_Toc92513360"/>
      <w:r w:rsidRPr="00BA7EC3">
        <w:t>3GPP TSG-RAN WG4 Meeting #11</w:t>
      </w:r>
      <w:r>
        <w:t>8</w:t>
      </w:r>
      <w:r w:rsidRPr="003821CE">
        <w:tab/>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r w:rsidR="00C41876" w:rsidRPr="00C41876">
        <w:t>R4-2600887</w:t>
      </w:r>
    </w:p>
    <w:p w14:paraId="0CFB2D08" w14:textId="77777777" w:rsidR="00587351" w:rsidRPr="00103256" w:rsidRDefault="00587351" w:rsidP="00587351">
      <w:pPr>
        <w:pStyle w:val="aff2"/>
        <w:jc w:val="both"/>
        <w:rPr>
          <w:rFonts w:eastAsia="MS Mincho" w:cs="Arial"/>
          <w:szCs w:val="22"/>
          <w:lang w:eastAsia="ja-JP"/>
        </w:rPr>
      </w:pPr>
      <w:r w:rsidRPr="003745B9">
        <w:rPr>
          <w:rFonts w:eastAsia="宋体" w:cs="Arial"/>
          <w:szCs w:val="22"/>
          <w:lang w:eastAsia="zh-CN"/>
        </w:rPr>
        <w:t>Gothenburg, Sweden, 9th – 13th Feb 2026</w:t>
      </w:r>
    </w:p>
    <w:p w14:paraId="2B614592" w14:textId="77777777" w:rsidR="00F71A33" w:rsidRPr="00587351"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2528311A"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B7508">
        <w:rPr>
          <w:rFonts w:ascii="Arial" w:hAnsi="Arial" w:cs="Arial"/>
          <w:sz w:val="22"/>
        </w:rPr>
        <w:t>On</w:t>
      </w:r>
      <w:r w:rsidR="00903DFB" w:rsidRPr="00903DFB">
        <w:rPr>
          <w:rFonts w:ascii="Arial" w:hAnsi="Arial" w:cs="Arial"/>
          <w:sz w:val="22"/>
        </w:rPr>
        <w:t>n system parameters for 6G —— Channel bandwidth</w:t>
      </w:r>
    </w:p>
    <w:p w14:paraId="1F9DFD8D" w14:textId="094E97D0"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903DFB">
        <w:rPr>
          <w:rFonts w:ascii="Arial" w:hAnsi="Arial" w:cs="Arial"/>
          <w:sz w:val="22"/>
        </w:rPr>
        <w:t>2.</w:t>
      </w:r>
      <w:r w:rsidR="00E5500D">
        <w:rPr>
          <w:rFonts w:ascii="Arial" w:hAnsi="Arial" w:cs="Arial"/>
          <w:sz w:val="22"/>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1C827693" w:rsidR="009A089A" w:rsidRDefault="008F73C8" w:rsidP="008F73C8">
      <w:pPr>
        <w:jc w:val="both"/>
      </w:pPr>
      <w:r>
        <w:rPr>
          <w:lang w:val="x-none"/>
        </w:rPr>
        <w:t xml:space="preserve">This contribution provides our </w:t>
      </w:r>
      <w:r w:rsidR="00750041">
        <w:rPr>
          <w:lang w:val="x-none"/>
        </w:rPr>
        <w:t xml:space="preserve">further </w:t>
      </w:r>
      <w:r>
        <w:rPr>
          <w:lang w:val="x-none"/>
        </w:rPr>
        <w:t>consideration on system parameters for 6G</w:t>
      </w:r>
      <w:r w:rsidR="00903DFB">
        <w:rPr>
          <w:lang w:val="x-none"/>
        </w:rPr>
        <w:t xml:space="preserve"> on channel bandwidth, including max CBW, min CBW, numerology</w:t>
      </w:r>
      <w:r w:rsidR="009D45A5">
        <w:rPr>
          <w:lang w:val="x-none"/>
        </w:rPr>
        <w:t xml:space="preserve">, </w:t>
      </w:r>
      <w:r w:rsidR="00903DFB">
        <w:rPr>
          <w:lang w:val="x-none"/>
        </w:rPr>
        <w:t>spectrum utilization</w:t>
      </w:r>
      <w:r w:rsidR="009D45A5">
        <w:rPr>
          <w:lang w:val="x-none"/>
        </w:rPr>
        <w:t xml:space="preserve"> and flexible channel bandwidth, etc</w:t>
      </w:r>
      <w:r>
        <w:rPr>
          <w:lang w:val="x-none"/>
        </w:rPr>
        <w:t>.</w:t>
      </w:r>
    </w:p>
    <w:p w14:paraId="04DE60E4" w14:textId="213F4820" w:rsidR="00062E8E" w:rsidRDefault="00062E8E" w:rsidP="006272FF">
      <w:pPr>
        <w:pStyle w:val="1"/>
        <w:spacing w:after="240"/>
        <w:jc w:val="both"/>
        <w:rPr>
          <w:rFonts w:eastAsia="宋体"/>
          <w:lang w:eastAsia="zh-CN"/>
        </w:rPr>
      </w:pPr>
      <w:r>
        <w:rPr>
          <w:rFonts w:eastAsia="宋体" w:hint="eastAsia"/>
          <w:lang w:eastAsia="zh-CN"/>
        </w:rPr>
        <w:t>Discussion</w:t>
      </w:r>
    </w:p>
    <w:p w14:paraId="6237BEE7" w14:textId="6AFCE20C" w:rsidR="005369EE" w:rsidRDefault="001A6230" w:rsidP="007626FC">
      <w:pPr>
        <w:pStyle w:val="2"/>
        <w:spacing w:after="240"/>
        <w:rPr>
          <w:rFonts w:eastAsiaTheme="minorEastAsia"/>
          <w:lang w:val="en-US" w:eastAsia="zh-CN"/>
        </w:rPr>
      </w:pPr>
      <w:r>
        <w:rPr>
          <w:rFonts w:eastAsiaTheme="minorEastAsia" w:hint="eastAsia"/>
          <w:lang w:val="en-US" w:eastAsia="zh-CN"/>
        </w:rPr>
        <w:t>C</w:t>
      </w:r>
      <w:r>
        <w:rPr>
          <w:rFonts w:eastAsiaTheme="minorEastAsia"/>
          <w:lang w:val="en-US" w:eastAsia="zh-CN"/>
        </w:rPr>
        <w:t>hannel bandwidth</w:t>
      </w:r>
    </w:p>
    <w:p w14:paraId="0278D5DB" w14:textId="050E9EBF" w:rsidR="001A6230" w:rsidRDefault="00D41F49" w:rsidP="00D41F49">
      <w:pPr>
        <w:pStyle w:val="3"/>
      </w:pPr>
      <w:r>
        <w:t>Max channel bandwidth</w:t>
      </w:r>
    </w:p>
    <w:p w14:paraId="6AAD6036" w14:textId="251FDFD2" w:rsidR="00463702" w:rsidRDefault="00463702" w:rsidP="00463702">
      <w:pPr>
        <w:jc w:val="both"/>
        <w:rPr>
          <w:bCs/>
          <w:iCs/>
          <w:lang w:val="en-US"/>
        </w:rPr>
      </w:pPr>
      <w:bookmarkStart w:id="2" w:name="_Hlk212397650"/>
      <w:r>
        <w:rPr>
          <w:bCs/>
          <w:iCs/>
          <w:lang w:val="en-US"/>
        </w:rPr>
        <w:t>RAN4 agreement on max channel bandwi</w:t>
      </w:r>
      <w:r w:rsidR="005C5502">
        <w:rPr>
          <w:bCs/>
          <w:iCs/>
          <w:lang w:val="en-US"/>
        </w:rPr>
        <w:t>d</w:t>
      </w:r>
      <w:r>
        <w:rPr>
          <w:bCs/>
          <w:iCs/>
          <w:lang w:val="en-US"/>
        </w:rPr>
        <w:t>th is excerpted as below</w:t>
      </w:r>
      <w:r w:rsidRPr="00AB7075">
        <w:rPr>
          <w:bCs/>
          <w:iCs/>
          <w:lang w:val="en-US"/>
        </w:rPr>
        <w:t>.</w:t>
      </w:r>
      <w:bookmarkEnd w:id="2"/>
    </w:p>
    <w:tbl>
      <w:tblPr>
        <w:tblStyle w:val="aff"/>
        <w:tblW w:w="0" w:type="auto"/>
        <w:tblLook w:val="04A0" w:firstRow="1" w:lastRow="0" w:firstColumn="1" w:lastColumn="0" w:noHBand="0" w:noVBand="1"/>
      </w:tblPr>
      <w:tblGrid>
        <w:gridCol w:w="9631"/>
      </w:tblGrid>
      <w:tr w:rsidR="00CA278A" w14:paraId="6EE65AC0" w14:textId="77777777" w:rsidTr="00CA278A">
        <w:tc>
          <w:tcPr>
            <w:tcW w:w="9631" w:type="dxa"/>
          </w:tcPr>
          <w:p w14:paraId="4C74F7AA" w14:textId="77777777" w:rsidR="00350367" w:rsidRPr="009C12A8" w:rsidRDefault="00350367" w:rsidP="004D7FE3">
            <w:pPr>
              <w:spacing w:after="60"/>
              <w:rPr>
                <w:highlight w:val="green"/>
              </w:rPr>
            </w:pPr>
            <w:r w:rsidRPr="009C12A8">
              <w:rPr>
                <w:highlight w:val="green"/>
              </w:rPr>
              <w:t>Agreement on DL max CBW:</w:t>
            </w:r>
          </w:p>
          <w:p w14:paraId="3E4E2021" w14:textId="77777777" w:rsidR="00350367" w:rsidRPr="00350367" w:rsidRDefault="00350367" w:rsidP="009C12A8">
            <w:pPr>
              <w:pStyle w:val="afff0"/>
              <w:widowControl/>
              <w:numPr>
                <w:ilvl w:val="0"/>
                <w:numId w:val="18"/>
              </w:numPr>
              <w:ind w:firstLineChars="0"/>
              <w:rPr>
                <w:rFonts w:ascii="Times New Roman" w:hAnsi="Times New Roman"/>
                <w:sz w:val="20"/>
                <w:lang w:eastAsia="zh-CN"/>
              </w:rPr>
            </w:pPr>
            <w:r w:rsidRPr="00350367">
              <w:rPr>
                <w:rFonts w:ascii="Times New Roman" w:hAnsi="Times New Roman"/>
                <w:sz w:val="20"/>
                <w:lang w:eastAsia="zh-CN"/>
              </w:rPr>
              <w:t>Discuss the feasibility and necessity to support 400MHz either as single CC or CA for UE from RAN4 perspective</w:t>
            </w:r>
          </w:p>
          <w:p w14:paraId="563376FE" w14:textId="77777777" w:rsidR="00350367" w:rsidRPr="00350367" w:rsidRDefault="00350367" w:rsidP="009C12A8">
            <w:pPr>
              <w:pStyle w:val="afff0"/>
              <w:widowControl/>
              <w:numPr>
                <w:ilvl w:val="0"/>
                <w:numId w:val="18"/>
              </w:numPr>
              <w:ind w:firstLineChars="0"/>
              <w:rPr>
                <w:rFonts w:ascii="Times New Roman" w:hAnsi="Times New Roman"/>
                <w:sz w:val="20"/>
                <w:lang w:eastAsia="zh-CN"/>
              </w:rPr>
            </w:pPr>
            <w:r w:rsidRPr="00350367">
              <w:rPr>
                <w:rFonts w:ascii="Times New Roman" w:hAnsi="Times New Roman"/>
                <w:sz w:val="20"/>
                <w:lang w:eastAsia="zh-CN"/>
              </w:rPr>
              <w:t>Regarding 400MHz support, RAN4 will study both single CC with 400MHz max CBW+30kHz SCS+16k FFT (2x8k FFT for single CC is not precluded) and CA with maximum CBW of 200MHz+30kHz SCS+8k FFT (200MHz+200MHz) from the following perspectives:</w:t>
            </w:r>
          </w:p>
          <w:p w14:paraId="0F68C26C" w14:textId="77777777" w:rsidR="00350367" w:rsidRPr="00350367" w:rsidRDefault="00350367" w:rsidP="009C12A8">
            <w:pPr>
              <w:pStyle w:val="afff0"/>
              <w:widowControl/>
              <w:numPr>
                <w:ilvl w:val="1"/>
                <w:numId w:val="18"/>
              </w:numPr>
              <w:ind w:firstLineChars="0"/>
              <w:rPr>
                <w:rFonts w:ascii="Times New Roman" w:hAnsi="Times New Roman"/>
                <w:sz w:val="20"/>
                <w:lang w:eastAsia="zh-CN"/>
              </w:rPr>
            </w:pPr>
            <w:r w:rsidRPr="00350367">
              <w:rPr>
                <w:rFonts w:ascii="Times New Roman" w:hAnsi="Times New Roman"/>
                <w:sz w:val="20"/>
                <w:lang w:eastAsia="zh-CN"/>
              </w:rPr>
              <w:t>Implementation considerations, including, but not limited to, the RF/BB architecture, feasibility (e.g. the feasibility to support 400MHz as single CC), complexity, power consumption, etc.</w:t>
            </w:r>
          </w:p>
          <w:p w14:paraId="40F75C09" w14:textId="77777777" w:rsidR="00350367" w:rsidRPr="00350367" w:rsidRDefault="00350367" w:rsidP="009C12A8">
            <w:pPr>
              <w:pStyle w:val="afff0"/>
              <w:widowControl/>
              <w:numPr>
                <w:ilvl w:val="1"/>
                <w:numId w:val="18"/>
              </w:numPr>
              <w:ind w:firstLineChars="0"/>
              <w:rPr>
                <w:rFonts w:ascii="Times New Roman" w:hAnsi="Times New Roman"/>
                <w:sz w:val="20"/>
                <w:lang w:eastAsia="zh-CN"/>
              </w:rPr>
            </w:pPr>
            <w:r w:rsidRPr="00350367">
              <w:rPr>
                <w:rFonts w:ascii="Times New Roman" w:hAnsi="Times New Roman"/>
                <w:sz w:val="20"/>
                <w:lang w:eastAsia="zh-CN"/>
              </w:rPr>
              <w:t>Pro and Con between single CC and CA, including, but not limited to, the system efficiency, system performance, overhead and other constraints</w:t>
            </w:r>
          </w:p>
          <w:p w14:paraId="6C92A4F3" w14:textId="77777777" w:rsidR="00350367" w:rsidRPr="00350367" w:rsidRDefault="00350367" w:rsidP="009C12A8">
            <w:pPr>
              <w:pStyle w:val="afff0"/>
              <w:widowControl/>
              <w:numPr>
                <w:ilvl w:val="1"/>
                <w:numId w:val="18"/>
              </w:numPr>
              <w:ind w:firstLineChars="0"/>
              <w:rPr>
                <w:rFonts w:ascii="Times New Roman" w:hAnsi="Times New Roman"/>
                <w:sz w:val="20"/>
                <w:lang w:eastAsia="zh-CN"/>
              </w:rPr>
            </w:pPr>
            <w:r w:rsidRPr="00350367">
              <w:rPr>
                <w:rFonts w:ascii="Times New Roman" w:hAnsi="Times New Roman"/>
                <w:sz w:val="20"/>
                <w:lang w:eastAsia="zh-CN"/>
              </w:rPr>
              <w:t>The spectrum availability. The target spectrum for this study includes ~7GHz, (any others?)</w:t>
            </w:r>
          </w:p>
          <w:p w14:paraId="50CEFCC1" w14:textId="12716345" w:rsidR="00350367" w:rsidRDefault="00350367" w:rsidP="009C12A8">
            <w:pPr>
              <w:pStyle w:val="afff0"/>
              <w:widowControl/>
              <w:numPr>
                <w:ilvl w:val="1"/>
                <w:numId w:val="18"/>
              </w:numPr>
              <w:ind w:firstLineChars="0"/>
              <w:rPr>
                <w:rFonts w:ascii="Times New Roman" w:hAnsi="Times New Roman"/>
                <w:sz w:val="20"/>
                <w:lang w:eastAsia="zh-CN"/>
              </w:rPr>
            </w:pPr>
            <w:r w:rsidRPr="00350367">
              <w:rPr>
                <w:rFonts w:ascii="Times New Roman" w:hAnsi="Times New Roman"/>
                <w:sz w:val="20"/>
                <w:lang w:eastAsia="zh-CN"/>
              </w:rPr>
              <w:t>Support of symmetric/asymmetric DL and UL max CBW, including, but not limited to, system efficiency.</w:t>
            </w:r>
          </w:p>
          <w:p w14:paraId="2FC36955" w14:textId="77777777" w:rsidR="00350367" w:rsidRPr="009C12A8" w:rsidRDefault="00350367" w:rsidP="004D7FE3">
            <w:pPr>
              <w:spacing w:beforeLines="50" w:before="120" w:after="60"/>
              <w:rPr>
                <w:highlight w:val="green"/>
              </w:rPr>
            </w:pPr>
            <w:r w:rsidRPr="009C12A8">
              <w:rPr>
                <w:highlight w:val="green"/>
              </w:rPr>
              <w:t xml:space="preserve">Agreement on UL max </w:t>
            </w:r>
            <w:r w:rsidRPr="004D7FE3">
              <w:rPr>
                <w:rFonts w:eastAsia="等线"/>
                <w:highlight w:val="green"/>
              </w:rPr>
              <w:t>CBW</w:t>
            </w:r>
            <w:r w:rsidRPr="009C12A8">
              <w:rPr>
                <w:highlight w:val="green"/>
              </w:rPr>
              <w:t xml:space="preserve"> for ~7GHz:</w:t>
            </w:r>
          </w:p>
          <w:p w14:paraId="76ACA6F6" w14:textId="77777777" w:rsidR="00350367" w:rsidRPr="00350367" w:rsidRDefault="00350367" w:rsidP="009C12A8">
            <w:pPr>
              <w:pStyle w:val="afff0"/>
              <w:widowControl/>
              <w:numPr>
                <w:ilvl w:val="0"/>
                <w:numId w:val="18"/>
              </w:numPr>
              <w:ind w:firstLineChars="0"/>
              <w:rPr>
                <w:rFonts w:ascii="Times New Roman" w:hAnsi="Times New Roman"/>
                <w:iCs/>
                <w:sz w:val="20"/>
                <w:szCs w:val="21"/>
              </w:rPr>
            </w:pPr>
            <w:r w:rsidRPr="00350367">
              <w:rPr>
                <w:rFonts w:ascii="Times New Roman" w:hAnsi="Times New Roman"/>
                <w:iCs/>
                <w:sz w:val="20"/>
                <w:szCs w:val="21"/>
              </w:rPr>
              <w:t>Operators, some of infra vendors and some of UE vendors have strong interests to continue the discussion on supporting max 400MHz UL spectrum with 30kHz SCS during the 6G study, subject to the interim milestone timeline.</w:t>
            </w:r>
          </w:p>
          <w:p w14:paraId="588E1756" w14:textId="77777777" w:rsidR="00350367" w:rsidRPr="00350367" w:rsidRDefault="00350367" w:rsidP="009C12A8">
            <w:pPr>
              <w:pStyle w:val="afff0"/>
              <w:widowControl/>
              <w:numPr>
                <w:ilvl w:val="0"/>
                <w:numId w:val="18"/>
              </w:numPr>
              <w:ind w:firstLineChars="0"/>
              <w:rPr>
                <w:rFonts w:ascii="Times New Roman" w:hAnsi="Times New Roman"/>
                <w:iCs/>
                <w:sz w:val="20"/>
                <w:szCs w:val="21"/>
              </w:rPr>
            </w:pPr>
            <w:r w:rsidRPr="00350367">
              <w:rPr>
                <w:rFonts w:ascii="Times New Roman" w:hAnsi="Times New Roman"/>
                <w:iCs/>
                <w:sz w:val="20"/>
                <w:szCs w:val="21"/>
              </w:rPr>
              <w:t>From UE implementation perspective based on the inputs from UE vendors, max CBW 400MHz with 30kHz SCS for UL is considered as very challenge and the corresponding feasibility to support it is broadly questioned.</w:t>
            </w:r>
          </w:p>
          <w:p w14:paraId="5E2234B4" w14:textId="77777777" w:rsidR="00350367" w:rsidRPr="00350367" w:rsidRDefault="00350367" w:rsidP="009C12A8">
            <w:pPr>
              <w:pStyle w:val="afff0"/>
              <w:widowControl/>
              <w:numPr>
                <w:ilvl w:val="1"/>
                <w:numId w:val="18"/>
              </w:numPr>
              <w:ind w:firstLineChars="0"/>
              <w:rPr>
                <w:rFonts w:ascii="Times New Roman" w:hAnsi="Times New Roman"/>
                <w:iCs/>
                <w:sz w:val="20"/>
                <w:szCs w:val="21"/>
              </w:rPr>
            </w:pPr>
            <w:r w:rsidRPr="00350367">
              <w:rPr>
                <w:rFonts w:ascii="Times New Roman" w:hAnsi="Times New Roman"/>
                <w:iCs/>
                <w:sz w:val="20"/>
                <w:szCs w:val="21"/>
              </w:rPr>
              <w:t>Some UE vendor thinks it is feasible to support max CBW 400MHz with 30kHz SCS for UL.</w:t>
            </w:r>
          </w:p>
          <w:p w14:paraId="614CBDE6" w14:textId="77777777" w:rsidR="00350367" w:rsidRPr="00350367" w:rsidRDefault="00350367" w:rsidP="009C12A8">
            <w:pPr>
              <w:pStyle w:val="afff0"/>
              <w:widowControl/>
              <w:numPr>
                <w:ilvl w:val="1"/>
                <w:numId w:val="18"/>
              </w:numPr>
              <w:ind w:firstLineChars="0"/>
              <w:rPr>
                <w:rFonts w:ascii="Times New Roman" w:hAnsi="Times New Roman"/>
                <w:iCs/>
                <w:sz w:val="20"/>
                <w:szCs w:val="21"/>
              </w:rPr>
            </w:pPr>
            <w:r w:rsidRPr="00350367">
              <w:rPr>
                <w:rFonts w:ascii="Times New Roman" w:hAnsi="Times New Roman"/>
                <w:iCs/>
                <w:sz w:val="20"/>
                <w:szCs w:val="21"/>
              </w:rPr>
              <w:t xml:space="preserve">Based on the existing state-of-the-art solution, max CBW 200MHz with 30kHz SCS is considered as feasible </w:t>
            </w:r>
          </w:p>
          <w:p w14:paraId="581DF898" w14:textId="77777777" w:rsidR="00350367" w:rsidRPr="00350367" w:rsidRDefault="00350367" w:rsidP="009C12A8">
            <w:pPr>
              <w:pStyle w:val="afff0"/>
              <w:widowControl/>
              <w:numPr>
                <w:ilvl w:val="2"/>
                <w:numId w:val="18"/>
              </w:numPr>
              <w:ind w:firstLineChars="0"/>
              <w:rPr>
                <w:rFonts w:ascii="Times New Roman" w:hAnsi="Times New Roman"/>
                <w:iCs/>
                <w:sz w:val="20"/>
                <w:szCs w:val="21"/>
              </w:rPr>
            </w:pPr>
            <w:r w:rsidRPr="00350367">
              <w:rPr>
                <w:rFonts w:ascii="Times New Roman" w:hAnsi="Times New Roman"/>
                <w:iCs/>
                <w:sz w:val="20"/>
                <w:szCs w:val="21"/>
              </w:rPr>
              <w:t xml:space="preserve">The feasibility can be further confirmed. </w:t>
            </w:r>
          </w:p>
          <w:p w14:paraId="10D6C978" w14:textId="77777777" w:rsidR="00350367" w:rsidRPr="00350367" w:rsidRDefault="00350367" w:rsidP="009C12A8">
            <w:pPr>
              <w:pStyle w:val="afff0"/>
              <w:widowControl/>
              <w:numPr>
                <w:ilvl w:val="0"/>
                <w:numId w:val="18"/>
              </w:numPr>
              <w:ind w:firstLineChars="0"/>
              <w:rPr>
                <w:rFonts w:ascii="Times New Roman" w:hAnsi="Times New Roman"/>
                <w:iCs/>
                <w:sz w:val="20"/>
                <w:szCs w:val="21"/>
              </w:rPr>
            </w:pPr>
            <w:r w:rsidRPr="00350367">
              <w:rPr>
                <w:rFonts w:ascii="Times New Roman" w:hAnsi="Times New Roman"/>
                <w:iCs/>
                <w:sz w:val="20"/>
                <w:szCs w:val="21"/>
              </w:rPr>
              <w:t>Max CBW for UL will be further discussed in RAN4#118 with both operators’ requests and the feasibility issues raised by the UE vendors taken into consideration.</w:t>
            </w:r>
          </w:p>
          <w:p w14:paraId="1AFBC9CD" w14:textId="77777777" w:rsidR="00350367" w:rsidRPr="00350367" w:rsidRDefault="00350367" w:rsidP="009C12A8">
            <w:pPr>
              <w:pStyle w:val="afff0"/>
              <w:widowControl/>
              <w:numPr>
                <w:ilvl w:val="0"/>
                <w:numId w:val="18"/>
              </w:numPr>
              <w:ind w:firstLineChars="0"/>
              <w:rPr>
                <w:rFonts w:ascii="Times New Roman" w:hAnsi="Times New Roman"/>
                <w:iCs/>
                <w:sz w:val="20"/>
                <w:szCs w:val="21"/>
              </w:rPr>
            </w:pPr>
            <w:r w:rsidRPr="00350367">
              <w:rPr>
                <w:rFonts w:ascii="Times New Roman" w:hAnsi="Times New Roman"/>
                <w:iCs/>
                <w:sz w:val="20"/>
                <w:szCs w:val="21"/>
              </w:rPr>
              <w:t>Interested companies are encouraged to bring their technical analysis on the following aspects in RAN4#118</w:t>
            </w:r>
          </w:p>
          <w:p w14:paraId="487982B5" w14:textId="77777777" w:rsidR="00350367" w:rsidRPr="00350367" w:rsidRDefault="00350367" w:rsidP="009C12A8">
            <w:pPr>
              <w:pStyle w:val="afff0"/>
              <w:widowControl/>
              <w:numPr>
                <w:ilvl w:val="1"/>
                <w:numId w:val="18"/>
              </w:numPr>
              <w:ind w:firstLineChars="0"/>
              <w:rPr>
                <w:rFonts w:ascii="Times New Roman" w:hAnsi="Times New Roman"/>
                <w:iCs/>
                <w:sz w:val="20"/>
                <w:szCs w:val="21"/>
              </w:rPr>
            </w:pPr>
            <w:r w:rsidRPr="00350367">
              <w:rPr>
                <w:rFonts w:ascii="Times New Roman" w:hAnsi="Times New Roman"/>
                <w:iCs/>
                <w:sz w:val="20"/>
                <w:szCs w:val="21"/>
              </w:rPr>
              <w:t>Availability of RF components and their performance to support max CBW</w:t>
            </w:r>
          </w:p>
          <w:p w14:paraId="78982D4C" w14:textId="77777777" w:rsidR="00350367" w:rsidRPr="00350367" w:rsidRDefault="00350367" w:rsidP="009C12A8">
            <w:pPr>
              <w:pStyle w:val="afff0"/>
              <w:widowControl/>
              <w:numPr>
                <w:ilvl w:val="1"/>
                <w:numId w:val="18"/>
              </w:numPr>
              <w:ind w:firstLineChars="0"/>
              <w:rPr>
                <w:rFonts w:ascii="Times New Roman" w:hAnsi="Times New Roman"/>
                <w:iCs/>
                <w:sz w:val="20"/>
                <w:szCs w:val="21"/>
              </w:rPr>
            </w:pPr>
            <w:r w:rsidRPr="00350367">
              <w:rPr>
                <w:rFonts w:ascii="Times New Roman" w:hAnsi="Times New Roman"/>
                <w:iCs/>
                <w:sz w:val="20"/>
                <w:szCs w:val="21"/>
              </w:rPr>
              <w:t>The feasibility, pro and con to support max CBW 400MHz+30kHz vs. max CBW 200MHz+30kHz vs. 200MHz+200MHz CA with max CBW 200MHz+30kHz.</w:t>
            </w:r>
          </w:p>
          <w:p w14:paraId="300252A7" w14:textId="77777777" w:rsidR="009C12A8" w:rsidRPr="009C12A8" w:rsidRDefault="00350367" w:rsidP="009C12A8">
            <w:pPr>
              <w:pStyle w:val="afff0"/>
              <w:widowControl/>
              <w:numPr>
                <w:ilvl w:val="1"/>
                <w:numId w:val="18"/>
              </w:numPr>
              <w:ind w:firstLineChars="0"/>
              <w:rPr>
                <w:iCs/>
              </w:rPr>
            </w:pPr>
            <w:r w:rsidRPr="00350367">
              <w:rPr>
                <w:rFonts w:ascii="Times New Roman" w:hAnsi="Times New Roman"/>
                <w:iCs/>
                <w:sz w:val="20"/>
                <w:szCs w:val="21"/>
              </w:rPr>
              <w:t>UL coverage</w:t>
            </w:r>
          </w:p>
          <w:p w14:paraId="447245A3" w14:textId="6B8D8A5F" w:rsidR="00CA278A" w:rsidRPr="00350367" w:rsidRDefault="00350367" w:rsidP="009C12A8">
            <w:pPr>
              <w:pStyle w:val="afff0"/>
              <w:widowControl/>
              <w:numPr>
                <w:ilvl w:val="1"/>
                <w:numId w:val="18"/>
              </w:numPr>
              <w:ind w:firstLineChars="0"/>
              <w:rPr>
                <w:iCs/>
              </w:rPr>
            </w:pPr>
            <w:r w:rsidRPr="00350367">
              <w:rPr>
                <w:rFonts w:ascii="Times New Roman" w:hAnsi="Times New Roman"/>
                <w:iCs/>
                <w:sz w:val="20"/>
                <w:szCs w:val="21"/>
              </w:rPr>
              <w:lastRenderedPageBreak/>
              <w:t>Other aspects are not precluded.</w:t>
            </w:r>
          </w:p>
        </w:tc>
      </w:tr>
    </w:tbl>
    <w:p w14:paraId="09069BC0" w14:textId="299398E0" w:rsidR="00AB7075" w:rsidRDefault="00340A5B" w:rsidP="00340A5B">
      <w:pPr>
        <w:spacing w:beforeLines="50" w:before="120"/>
        <w:jc w:val="both"/>
        <w:rPr>
          <w:bCs/>
          <w:iCs/>
          <w:lang w:val="en-US"/>
        </w:rPr>
      </w:pPr>
      <w:r>
        <w:rPr>
          <w:bCs/>
          <w:iCs/>
          <w:lang w:val="en-US"/>
        </w:rPr>
        <w:lastRenderedPageBreak/>
        <w:t xml:space="preserve">RAN1 reached the following agreement regarding max channel bandwidth. </w:t>
      </w:r>
    </w:p>
    <w:tbl>
      <w:tblPr>
        <w:tblStyle w:val="aff"/>
        <w:tblW w:w="0" w:type="auto"/>
        <w:tblLook w:val="04A0" w:firstRow="1" w:lastRow="0" w:firstColumn="1" w:lastColumn="0" w:noHBand="0" w:noVBand="1"/>
      </w:tblPr>
      <w:tblGrid>
        <w:gridCol w:w="9631"/>
      </w:tblGrid>
      <w:tr w:rsidR="00122119" w14:paraId="30378091" w14:textId="77777777" w:rsidTr="00122119">
        <w:tc>
          <w:tcPr>
            <w:tcW w:w="9631" w:type="dxa"/>
          </w:tcPr>
          <w:p w14:paraId="7FBFCFF9" w14:textId="77777777" w:rsidR="009C12A8" w:rsidRPr="00CD6363" w:rsidRDefault="009C12A8" w:rsidP="009C12A8">
            <w:pPr>
              <w:spacing w:after="60"/>
              <w:rPr>
                <w:rFonts w:eastAsia="等线"/>
                <w:highlight w:val="green"/>
              </w:rPr>
            </w:pPr>
            <w:r w:rsidRPr="00CD6363">
              <w:rPr>
                <w:rFonts w:eastAsia="等线" w:hint="eastAsia"/>
                <w:highlight w:val="green"/>
              </w:rPr>
              <w:t>Agreement</w:t>
            </w:r>
          </w:p>
          <w:p w14:paraId="7C9A8D3F" w14:textId="77777777" w:rsidR="009C12A8" w:rsidRPr="00CD6363" w:rsidRDefault="009C12A8" w:rsidP="009C12A8">
            <w:pPr>
              <w:numPr>
                <w:ilvl w:val="0"/>
                <w:numId w:val="28"/>
              </w:numPr>
              <w:overflowPunct/>
              <w:autoSpaceDE/>
              <w:autoSpaceDN/>
              <w:adjustRightInd/>
              <w:spacing w:after="0"/>
              <w:textAlignment w:val="auto"/>
              <w:rPr>
                <w:rFonts w:eastAsia="等线"/>
              </w:rPr>
            </w:pPr>
            <w:r w:rsidRPr="00CD6363">
              <w:rPr>
                <w:rFonts w:eastAsia="等线"/>
              </w:rPr>
              <w:t>RAN1</w:t>
            </w:r>
            <w:r w:rsidRPr="00CD6363">
              <w:rPr>
                <w:rFonts w:eastAsia="等线" w:hint="eastAsia"/>
              </w:rPr>
              <w:t xml:space="preserve"> assumes </w:t>
            </w:r>
            <w:r w:rsidRPr="00CD6363">
              <w:rPr>
                <w:rFonts w:eastAsia="等线"/>
              </w:rPr>
              <w:t xml:space="preserve">maximum channel bandwidth </w:t>
            </w:r>
            <w:r w:rsidRPr="00CD6363">
              <w:rPr>
                <w:rFonts w:eastAsia="等线" w:hint="eastAsia"/>
              </w:rPr>
              <w:t>800MHz or 400MHz at network side for FR2-1</w:t>
            </w:r>
          </w:p>
          <w:p w14:paraId="5029AB96" w14:textId="77777777" w:rsidR="009C12A8" w:rsidRPr="00CD6363" w:rsidRDefault="009C12A8" w:rsidP="009C12A8">
            <w:pPr>
              <w:numPr>
                <w:ilvl w:val="0"/>
                <w:numId w:val="21"/>
              </w:numPr>
              <w:overflowPunct/>
              <w:autoSpaceDE/>
              <w:autoSpaceDN/>
              <w:adjustRightInd/>
              <w:spacing w:after="0"/>
              <w:textAlignment w:val="auto"/>
              <w:rPr>
                <w:rFonts w:eastAsia="等线"/>
              </w:rPr>
            </w:pPr>
            <w:r w:rsidRPr="00CD6363">
              <w:rPr>
                <w:rFonts w:eastAsia="等线" w:hint="eastAsia"/>
              </w:rPr>
              <w:t>800MHz or 400MHz, to be down-selected in the future</w:t>
            </w:r>
          </w:p>
          <w:p w14:paraId="1958D3BE" w14:textId="5BE1B502" w:rsidR="009C12A8" w:rsidRPr="00627FF5" w:rsidRDefault="009C12A8" w:rsidP="009C12A8">
            <w:pPr>
              <w:numPr>
                <w:ilvl w:val="0"/>
                <w:numId w:val="29"/>
              </w:numPr>
              <w:overflowPunct/>
              <w:autoSpaceDE/>
              <w:autoSpaceDN/>
              <w:adjustRightInd/>
              <w:spacing w:after="0"/>
              <w:textAlignment w:val="auto"/>
              <w:rPr>
                <w:rFonts w:eastAsia="等线"/>
              </w:rPr>
            </w:pPr>
            <w:r w:rsidRPr="00CD6363">
              <w:rPr>
                <w:rFonts w:eastAsia="等线" w:hint="eastAsia"/>
              </w:rPr>
              <w:t>FFS: 800MHz or 400MHz at UE side.</w:t>
            </w:r>
          </w:p>
          <w:p w14:paraId="7A949F94" w14:textId="2EC010FF" w:rsidR="009C12A8" w:rsidRPr="00CD6363" w:rsidRDefault="009C12A8" w:rsidP="00627FF5">
            <w:pPr>
              <w:spacing w:beforeLines="50" w:before="120" w:after="60"/>
              <w:rPr>
                <w:rFonts w:eastAsia="等线"/>
                <w:highlight w:val="green"/>
              </w:rPr>
            </w:pPr>
            <w:r w:rsidRPr="00CD6363">
              <w:rPr>
                <w:rFonts w:eastAsia="等线" w:hint="eastAsia"/>
                <w:highlight w:val="green"/>
              </w:rPr>
              <w:t>Agreement</w:t>
            </w:r>
          </w:p>
          <w:p w14:paraId="32BAE56E" w14:textId="77777777" w:rsidR="009C12A8" w:rsidRPr="00CD6363" w:rsidRDefault="009C12A8" w:rsidP="009C12A8">
            <w:pPr>
              <w:rPr>
                <w:rFonts w:eastAsia="等线"/>
              </w:rPr>
            </w:pPr>
            <w:r w:rsidRPr="00CD6363">
              <w:rPr>
                <w:rFonts w:eastAsia="等线" w:hint="eastAsia"/>
              </w:rPr>
              <w:t xml:space="preserve">For </w:t>
            </w:r>
            <w:r w:rsidRPr="00CD6363">
              <w:rPr>
                <w:rFonts w:eastAsia="等线"/>
              </w:rPr>
              <w:t>how to enable UE to support 400MHz bandwidth</w:t>
            </w:r>
            <w:r w:rsidRPr="00CD6363">
              <w:rPr>
                <w:rFonts w:eastAsia="等线" w:hint="eastAsia"/>
              </w:rPr>
              <w:t xml:space="preserve"> when </w:t>
            </w:r>
            <w:r w:rsidRPr="00CD6363">
              <w:rPr>
                <w:rFonts w:eastAsia="等线"/>
              </w:rPr>
              <w:t xml:space="preserve">a network </w:t>
            </w:r>
            <w:r w:rsidRPr="00CD6363">
              <w:rPr>
                <w:rFonts w:eastAsia="等线" w:hint="eastAsia"/>
              </w:rPr>
              <w:t xml:space="preserve">supports </w:t>
            </w:r>
            <w:r w:rsidRPr="00CD6363">
              <w:rPr>
                <w:rFonts w:eastAsia="等线"/>
              </w:rPr>
              <w:t xml:space="preserve">400 MHz Channel Bandwidth (CBW), the </w:t>
            </w:r>
            <w:r w:rsidRPr="00CD6363">
              <w:rPr>
                <w:rFonts w:eastAsia="等线" w:hint="eastAsia"/>
              </w:rPr>
              <w:t xml:space="preserve">following </w:t>
            </w:r>
            <w:r w:rsidRPr="00CD6363">
              <w:rPr>
                <w:rFonts w:eastAsia="等线"/>
              </w:rPr>
              <w:t>options 1/2/3/4</w:t>
            </w:r>
            <w:r w:rsidRPr="00CD6363">
              <w:rPr>
                <w:rFonts w:eastAsia="等线" w:hint="eastAsia"/>
              </w:rPr>
              <w:t>/5</w:t>
            </w:r>
            <w:r w:rsidRPr="00CD6363">
              <w:rPr>
                <w:rFonts w:eastAsia="等线"/>
              </w:rPr>
              <w:t xml:space="preserve"> are considered from RAN1 understanding for studying</w:t>
            </w:r>
          </w:p>
          <w:p w14:paraId="47007FC2" w14:textId="77777777" w:rsidR="009C12A8" w:rsidRPr="00CD6363" w:rsidRDefault="009C12A8" w:rsidP="009C12A8">
            <w:pPr>
              <w:rPr>
                <w:rFonts w:eastAsia="等线"/>
              </w:rPr>
            </w:pPr>
            <w:r w:rsidRPr="00CD6363">
              <w:rPr>
                <w:rFonts w:ascii="Arial" w:eastAsia="等线" w:hAnsi="Arial" w:cs="Arial"/>
                <w:noProof/>
                <w:lang w:val="en-US"/>
              </w:rPr>
              <w:drawing>
                <wp:inline distT="0" distB="0" distL="0" distR="0" wp14:anchorId="0DAB70BA" wp14:editId="05105675">
                  <wp:extent cx="6020111" cy="2812202"/>
                  <wp:effectExtent l="0" t="0" r="0" b="7620"/>
                  <wp:docPr id="1185296213"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296213" name="Picture 1" descr="图示&#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7932044C" w14:textId="77777777" w:rsidR="009C12A8" w:rsidRPr="00CD6363" w:rsidRDefault="009C12A8" w:rsidP="009C12A8">
            <w:pPr>
              <w:numPr>
                <w:ilvl w:val="1"/>
                <w:numId w:val="27"/>
              </w:numPr>
              <w:overflowPunct/>
              <w:autoSpaceDE/>
              <w:autoSpaceDN/>
              <w:adjustRightInd/>
              <w:spacing w:after="0" w:line="278" w:lineRule="auto"/>
              <w:textAlignment w:val="auto"/>
              <w:rPr>
                <w:rFonts w:eastAsia="等线"/>
              </w:rPr>
            </w:pPr>
            <w:r w:rsidRPr="00CD6363">
              <w:rPr>
                <w:rFonts w:eastAsia="等线" w:hint="eastAsia"/>
              </w:rPr>
              <w:t>Option 5: Variance of Option 3 by assuming single FFT and 2 RF chain.</w:t>
            </w:r>
          </w:p>
          <w:p w14:paraId="0EDBDB1D" w14:textId="77777777" w:rsidR="009C12A8" w:rsidRPr="00CD6363" w:rsidRDefault="009C12A8" w:rsidP="009C12A8">
            <w:pPr>
              <w:numPr>
                <w:ilvl w:val="1"/>
                <w:numId w:val="27"/>
              </w:numPr>
              <w:overflowPunct/>
              <w:autoSpaceDE/>
              <w:autoSpaceDN/>
              <w:adjustRightInd/>
              <w:spacing w:after="0" w:line="278" w:lineRule="auto"/>
              <w:textAlignment w:val="auto"/>
              <w:rPr>
                <w:rFonts w:eastAsia="等线"/>
              </w:rPr>
            </w:pPr>
            <w:r w:rsidRPr="00CD6363">
              <w:rPr>
                <w:rFonts w:eastAsia="等线" w:hint="eastAsia"/>
              </w:rPr>
              <w:t>FFS which aspects of the BB processor in option 3 and 4 should be separated/parallelled.</w:t>
            </w:r>
          </w:p>
          <w:p w14:paraId="2371929F" w14:textId="77777777" w:rsidR="009C12A8" w:rsidRPr="00CD6363" w:rsidRDefault="009C12A8" w:rsidP="009C12A8">
            <w:pPr>
              <w:numPr>
                <w:ilvl w:val="1"/>
                <w:numId w:val="27"/>
              </w:numPr>
              <w:overflowPunct/>
              <w:autoSpaceDE/>
              <w:autoSpaceDN/>
              <w:adjustRightInd/>
              <w:spacing w:after="0" w:line="278" w:lineRule="auto"/>
              <w:textAlignment w:val="auto"/>
              <w:rPr>
                <w:rFonts w:eastAsia="等线"/>
              </w:rPr>
            </w:pPr>
            <w:r w:rsidRPr="00CD6363">
              <w:rPr>
                <w:rFonts w:eastAsia="等线"/>
              </w:rPr>
              <w:t xml:space="preserve">Note: DL and UL </w:t>
            </w:r>
            <w:r w:rsidRPr="00CD6363">
              <w:rPr>
                <w:rFonts w:eastAsia="等线" w:hint="eastAsia"/>
              </w:rPr>
              <w:t>design options</w:t>
            </w:r>
            <w:r w:rsidRPr="00CD6363">
              <w:rPr>
                <w:rFonts w:eastAsia="等线"/>
              </w:rPr>
              <w:t xml:space="preserve"> may be considered independently.</w:t>
            </w:r>
          </w:p>
          <w:p w14:paraId="5712A23F" w14:textId="77777777" w:rsidR="009C12A8" w:rsidRPr="00CD6363" w:rsidRDefault="009C12A8" w:rsidP="009C12A8">
            <w:pPr>
              <w:numPr>
                <w:ilvl w:val="1"/>
                <w:numId w:val="27"/>
              </w:numPr>
              <w:overflowPunct/>
              <w:autoSpaceDE/>
              <w:autoSpaceDN/>
              <w:adjustRightInd/>
              <w:spacing w:after="0" w:line="278" w:lineRule="auto"/>
              <w:textAlignment w:val="auto"/>
              <w:rPr>
                <w:rFonts w:eastAsia="等线"/>
              </w:rPr>
            </w:pPr>
            <w:r w:rsidRPr="00CD6363">
              <w:rPr>
                <w:rFonts w:eastAsia="等线" w:hint="eastAsia"/>
              </w:rPr>
              <w:t xml:space="preserve">To provide </w:t>
            </w:r>
            <w:r w:rsidRPr="00CD6363">
              <w:rPr>
                <w:rFonts w:eastAsia="等线"/>
              </w:rPr>
              <w:t xml:space="preserve">potential specification impact </w:t>
            </w:r>
            <w:r w:rsidRPr="00CD6363">
              <w:rPr>
                <w:rFonts w:eastAsia="等线" w:hint="eastAsia"/>
              </w:rPr>
              <w:t>of</w:t>
            </w:r>
            <w:r w:rsidRPr="00CD6363">
              <w:rPr>
                <w:rFonts w:eastAsia="等线"/>
              </w:rPr>
              <w:t xml:space="preserve"> each option.</w:t>
            </w:r>
          </w:p>
          <w:p w14:paraId="00E7257B" w14:textId="77777777" w:rsidR="009C12A8" w:rsidRPr="00CD6363" w:rsidRDefault="009C12A8" w:rsidP="009C12A8">
            <w:pPr>
              <w:numPr>
                <w:ilvl w:val="1"/>
                <w:numId w:val="27"/>
              </w:numPr>
              <w:overflowPunct/>
              <w:autoSpaceDE/>
              <w:autoSpaceDN/>
              <w:adjustRightInd/>
              <w:spacing w:after="0" w:line="278" w:lineRule="auto"/>
              <w:textAlignment w:val="auto"/>
              <w:rPr>
                <w:rFonts w:eastAsia="等线"/>
              </w:rPr>
            </w:pPr>
            <w:r w:rsidRPr="00CD6363">
              <w:rPr>
                <w:rFonts w:eastAsia="等线" w:hint="eastAsia"/>
              </w:rPr>
              <w:t>T</w:t>
            </w:r>
            <w:r w:rsidRPr="00CD6363">
              <w:rPr>
                <w:rFonts w:eastAsia="等线"/>
              </w:rPr>
              <w:t>o provide investigations on performance/energy efficiency/cost/complexity for the above options.</w:t>
            </w:r>
          </w:p>
          <w:p w14:paraId="0CDA5D3C" w14:textId="0A9C4F1C" w:rsidR="00122119" w:rsidRPr="009C12A8" w:rsidRDefault="009C12A8" w:rsidP="009C12A8">
            <w:pPr>
              <w:numPr>
                <w:ilvl w:val="1"/>
                <w:numId w:val="27"/>
              </w:numPr>
              <w:overflowPunct/>
              <w:autoSpaceDE/>
              <w:autoSpaceDN/>
              <w:adjustRightInd/>
              <w:spacing w:after="0" w:line="278" w:lineRule="auto"/>
              <w:textAlignment w:val="auto"/>
              <w:rPr>
                <w:rFonts w:eastAsia="等线"/>
              </w:rPr>
            </w:pPr>
            <w:r w:rsidRPr="00CD6363">
              <w:rPr>
                <w:rFonts w:eastAsia="等线" w:hint="eastAsia"/>
              </w:rPr>
              <w:t>Inform</w:t>
            </w:r>
            <w:r w:rsidRPr="00CD6363">
              <w:rPr>
                <w:rFonts w:eastAsia="等线"/>
              </w:rPr>
              <w:t xml:space="preserve"> RAN4 about the above information.</w:t>
            </w:r>
            <w:r w:rsidRPr="00CD6363">
              <w:rPr>
                <w:rFonts w:eastAsia="等线" w:hint="eastAsia"/>
              </w:rPr>
              <w:t xml:space="preserve"> </w:t>
            </w:r>
          </w:p>
        </w:tc>
      </w:tr>
    </w:tbl>
    <w:p w14:paraId="3AC1A49A" w14:textId="7DEA5F44" w:rsidR="002209CA" w:rsidRPr="002209CA" w:rsidRDefault="002209CA" w:rsidP="002209CA">
      <w:pPr>
        <w:spacing w:beforeLines="50" w:before="120" w:after="0"/>
        <w:jc w:val="both"/>
        <w:rPr>
          <w:bCs/>
          <w:iCs/>
          <w:lang w:val="en-US"/>
        </w:rPr>
      </w:pPr>
      <w:r w:rsidRPr="002209CA">
        <w:rPr>
          <w:bCs/>
          <w:iCs/>
          <w:lang w:val="en-US"/>
        </w:rPr>
        <w:t>To support such channel bandwidth, current RAN1 agreement provide</w:t>
      </w:r>
      <w:r>
        <w:rPr>
          <w:bCs/>
          <w:iCs/>
          <w:lang w:val="en-US"/>
        </w:rPr>
        <w:t>s</w:t>
      </w:r>
      <w:r w:rsidRPr="002209CA">
        <w:rPr>
          <w:bCs/>
          <w:iCs/>
          <w:lang w:val="en-US"/>
        </w:rPr>
        <w:t xml:space="preserve"> no indication regarding the maximum FFT size. During RAN4 discussions, many companies proposed to adopt an 8192 FFT size as the baseline. While it is understood that a single 8192 FFT cannot support a 400 MHz channel bandwidth with 30 kHz subcarrier spacing, FFT size alone may not be the determining factor for the maximum channel bandwidth. Therefore, </w:t>
      </w:r>
      <w:r>
        <w:rPr>
          <w:bCs/>
          <w:iCs/>
          <w:lang w:val="en-US"/>
        </w:rPr>
        <w:t xml:space="preserve">while </w:t>
      </w:r>
      <w:r w:rsidRPr="002209CA">
        <w:rPr>
          <w:bCs/>
          <w:iCs/>
          <w:lang w:val="en-US"/>
        </w:rPr>
        <w:t xml:space="preserve">the 8192 FFT size can be regarded as a baseline or typical implementation for 6G, it should not be considered a limiting factor in determining the maximum channel </w:t>
      </w:r>
      <w:proofErr w:type="gramStart"/>
      <w:r w:rsidRPr="002209CA">
        <w:rPr>
          <w:bCs/>
          <w:iCs/>
          <w:lang w:val="en-US"/>
        </w:rPr>
        <w:t>bandwidth,</w:t>
      </w:r>
      <w:r w:rsidR="0086501E">
        <w:rPr>
          <w:rFonts w:hint="eastAsia"/>
          <w:bCs/>
          <w:iCs/>
          <w:lang w:val="en-US"/>
        </w:rPr>
        <w:t>.</w:t>
      </w:r>
      <w:proofErr w:type="gramEnd"/>
      <w:r w:rsidR="00FE5C32">
        <w:rPr>
          <w:bCs/>
          <w:iCs/>
          <w:lang w:val="en-US"/>
        </w:rPr>
        <w:t xml:space="preserve"> </w:t>
      </w:r>
      <w:r w:rsidRPr="002209CA">
        <w:rPr>
          <w:bCs/>
          <w:iCs/>
          <w:lang w:val="en-US"/>
        </w:rPr>
        <w:t>The feasibility and methods for enabling UE support of 400 MHz bandwidth will be further studied in RAN1. From RAN4 perspective, potential spectrum availability</w:t>
      </w:r>
      <w:r w:rsidR="00043ECE">
        <w:rPr>
          <w:bCs/>
          <w:iCs/>
          <w:lang w:val="en-US"/>
        </w:rPr>
        <w:t>,</w:t>
      </w:r>
      <w:r w:rsidRPr="002209CA">
        <w:rPr>
          <w:bCs/>
          <w:iCs/>
          <w:lang w:val="en-US"/>
        </w:rPr>
        <w:t xml:space="preserve"> implementation complexity</w:t>
      </w:r>
      <w:r w:rsidR="00FD7523">
        <w:rPr>
          <w:bCs/>
          <w:iCs/>
          <w:lang w:val="en-US"/>
        </w:rPr>
        <w:t>,</w:t>
      </w:r>
      <w:r w:rsidRPr="002209CA">
        <w:rPr>
          <w:bCs/>
          <w:iCs/>
          <w:lang w:val="en-US"/>
        </w:rPr>
        <w:t xml:space="preserve"> </w:t>
      </w:r>
      <w:r w:rsidR="00FD7523">
        <w:rPr>
          <w:bCs/>
          <w:iCs/>
          <w:lang w:val="en-US"/>
        </w:rPr>
        <w:t xml:space="preserve">performance and power consumption </w:t>
      </w:r>
      <w:r w:rsidRPr="002209CA">
        <w:rPr>
          <w:bCs/>
          <w:iCs/>
          <w:lang w:val="en-US"/>
        </w:rPr>
        <w:t>should also be thoroughly evaluated.</w:t>
      </w:r>
    </w:p>
    <w:p w14:paraId="46D4D2C9" w14:textId="252B5C1C" w:rsidR="002209CA" w:rsidRPr="00FE5C32" w:rsidRDefault="002209CA" w:rsidP="00FE5C32">
      <w:pPr>
        <w:spacing w:beforeLines="50" w:before="120"/>
        <w:jc w:val="both"/>
        <w:rPr>
          <w:szCs w:val="24"/>
        </w:rPr>
      </w:pPr>
      <w:r w:rsidRPr="00FE5C32">
        <w:rPr>
          <w:szCs w:val="24"/>
        </w:rPr>
        <w:t>In addition, we note that some companies have suggested considering a 4096 FFT size for FDD or lower frequency bands. In our view, if an 8192 FFT size can be supported, the use of a reduced FFT size becomes merely an implementation choice Therefore,</w:t>
      </w:r>
      <w:r w:rsidR="0086501E" w:rsidRPr="00FE5C32">
        <w:rPr>
          <w:szCs w:val="24"/>
        </w:rPr>
        <w:t xml:space="preserve"> for different bands, different FFT size </w:t>
      </w:r>
      <w:r w:rsidR="002775AA" w:rsidRPr="00FE5C32">
        <w:rPr>
          <w:szCs w:val="24"/>
        </w:rPr>
        <w:t>could</w:t>
      </w:r>
      <w:r w:rsidR="006D399F" w:rsidRPr="00FE5C32">
        <w:rPr>
          <w:szCs w:val="24"/>
        </w:rPr>
        <w:t xml:space="preserve"> also </w:t>
      </w:r>
      <w:r w:rsidR="002775AA" w:rsidRPr="00FE5C32">
        <w:rPr>
          <w:szCs w:val="24"/>
        </w:rPr>
        <w:t xml:space="preserve">be </w:t>
      </w:r>
      <w:r w:rsidR="006D399F" w:rsidRPr="00FE5C32">
        <w:rPr>
          <w:szCs w:val="24"/>
        </w:rPr>
        <w:t>considered in UE implementation</w:t>
      </w:r>
      <w:r w:rsidR="002775AA" w:rsidRPr="00FE5C32">
        <w:rPr>
          <w:szCs w:val="24"/>
        </w:rPr>
        <w:t xml:space="preserve"> and</w:t>
      </w:r>
      <w:r w:rsidRPr="00FE5C32">
        <w:rPr>
          <w:szCs w:val="24"/>
        </w:rPr>
        <w:t xml:space="preserve"> it is not necessary to consider a separate assumption of 4096 FFT for specific scenarios.</w:t>
      </w:r>
    </w:p>
    <w:p w14:paraId="02669F34" w14:textId="15CBF9B1" w:rsidR="00675CA3" w:rsidRDefault="00675CA3" w:rsidP="00AB7075">
      <w:pPr>
        <w:jc w:val="both"/>
        <w:rPr>
          <w:b/>
          <w:i/>
          <w:lang w:val="en-US"/>
        </w:rPr>
      </w:pPr>
      <w:r>
        <w:rPr>
          <w:b/>
          <w:i/>
          <w:lang w:val="en-US"/>
        </w:rPr>
        <w:t>Proposal</w:t>
      </w:r>
      <w:r w:rsidR="00680EED">
        <w:rPr>
          <w:b/>
          <w:i/>
          <w:lang w:val="en-US"/>
        </w:rPr>
        <w:t xml:space="preserve"> </w:t>
      </w:r>
      <w:r w:rsidR="00FE5C32">
        <w:rPr>
          <w:b/>
          <w:i/>
          <w:lang w:val="en-US"/>
        </w:rPr>
        <w:t>1-1</w:t>
      </w:r>
      <w:r>
        <w:rPr>
          <w:b/>
          <w:i/>
          <w:lang w:val="en-US"/>
        </w:rPr>
        <w:t xml:space="preserve">: If a single FFT size is considered as a baseline, other FFT size(s) are not precluded </w:t>
      </w:r>
      <w:r w:rsidR="008B47CF">
        <w:rPr>
          <w:b/>
          <w:i/>
          <w:lang w:val="en-US"/>
        </w:rPr>
        <w:t xml:space="preserve">just </w:t>
      </w:r>
      <w:r>
        <w:rPr>
          <w:b/>
          <w:i/>
          <w:lang w:val="en-US"/>
        </w:rPr>
        <w:t>as implementation choice</w:t>
      </w:r>
      <w:r w:rsidR="006D399F">
        <w:rPr>
          <w:b/>
          <w:i/>
          <w:lang w:val="en-US"/>
        </w:rPr>
        <w:t xml:space="preserve"> considering the wide frequency range</w:t>
      </w:r>
      <w:r>
        <w:rPr>
          <w:b/>
          <w:i/>
          <w:lang w:val="en-US"/>
        </w:rPr>
        <w:t xml:space="preserve">. </w:t>
      </w:r>
      <w:r w:rsidR="00350367" w:rsidRPr="00350367">
        <w:rPr>
          <w:b/>
          <w:i/>
          <w:lang w:val="en-US"/>
        </w:rPr>
        <w:t>Consider FFT size, maximum Channel Bandwidth and numerology as a framework to have feasibility study from implementation perspective</w:t>
      </w:r>
      <w:r w:rsidR="00FD0DDD">
        <w:rPr>
          <w:b/>
          <w:i/>
          <w:lang w:val="en-US"/>
        </w:rPr>
        <w:t>.</w:t>
      </w:r>
    </w:p>
    <w:p w14:paraId="54672CE5" w14:textId="4861958F" w:rsidR="00216584" w:rsidRDefault="00216584" w:rsidP="00AB7075">
      <w:pPr>
        <w:jc w:val="both"/>
        <w:rPr>
          <w:szCs w:val="24"/>
        </w:rPr>
      </w:pPr>
      <w:r w:rsidRPr="00216584">
        <w:rPr>
          <w:szCs w:val="24"/>
        </w:rPr>
        <w:t>While the increased implementation complexity for UE to support 400 MHz channel bandwidth is acknowledged, qualitative analysis alone offers limited value to RAN4 and RAN1 discussions. In line with the RAN4 agreement to compare implementation options</w:t>
      </w:r>
      <w:r w:rsidR="00A73B67">
        <w:rPr>
          <w:szCs w:val="24"/>
        </w:rPr>
        <w:t xml:space="preserve">, </w:t>
      </w:r>
      <w:r w:rsidRPr="00216584">
        <w:rPr>
          <w:szCs w:val="24"/>
        </w:rPr>
        <w:t xml:space="preserve">e.g., </w:t>
      </w:r>
      <w:r w:rsidR="00A73B67" w:rsidRPr="00CA278A">
        <w:rPr>
          <w:szCs w:val="24"/>
        </w:rPr>
        <w:t>for cases like 200</w:t>
      </w:r>
      <w:r w:rsidR="00A73B67" w:rsidRPr="00CA278A">
        <w:rPr>
          <w:rFonts w:hint="eastAsia"/>
          <w:szCs w:val="24"/>
        </w:rPr>
        <w:t>MHz</w:t>
      </w:r>
      <w:r w:rsidR="00A73B67" w:rsidRPr="00CA278A">
        <w:rPr>
          <w:szCs w:val="24"/>
        </w:rPr>
        <w:t>/400 MHz</w:t>
      </w:r>
      <w:r w:rsidR="00A73B67">
        <w:rPr>
          <w:szCs w:val="24"/>
        </w:rPr>
        <w:t xml:space="preserve">, </w:t>
      </w:r>
      <w:r w:rsidRPr="00216584">
        <w:rPr>
          <w:szCs w:val="24"/>
        </w:rPr>
        <w:t xml:space="preserve">and evaluate RF performance and architectural trade-offs, </w:t>
      </w:r>
      <w:bookmarkStart w:id="3" w:name="_Hlk212397419"/>
      <w:r w:rsidRPr="00216584">
        <w:rPr>
          <w:szCs w:val="24"/>
        </w:rPr>
        <w:t>RAN4 should conduct quantitative implementation comparisons.</w:t>
      </w:r>
      <w:bookmarkEnd w:id="3"/>
      <w:r w:rsidRPr="00216584">
        <w:rPr>
          <w:szCs w:val="24"/>
        </w:rPr>
        <w:t xml:space="preserve"> Providing such</w:t>
      </w:r>
      <w:r w:rsidR="00A73B67">
        <w:rPr>
          <w:szCs w:val="24"/>
        </w:rPr>
        <w:t xml:space="preserve"> implementation relevant</w:t>
      </w:r>
      <w:r w:rsidRPr="00216584">
        <w:rPr>
          <w:szCs w:val="24"/>
        </w:rPr>
        <w:t xml:space="preserve"> evaluation to RAN1 is essential for </w:t>
      </w:r>
      <w:bookmarkStart w:id="4" w:name="_Hlk212397470"/>
      <w:r w:rsidRPr="00216584">
        <w:rPr>
          <w:szCs w:val="24"/>
        </w:rPr>
        <w:t>reaching a pertinent joint conclusion</w:t>
      </w:r>
      <w:bookmarkEnd w:id="4"/>
      <w:r w:rsidRPr="00216584">
        <w:rPr>
          <w:szCs w:val="24"/>
        </w:rPr>
        <w:t xml:space="preserve"> with a meaningful technical basis.</w:t>
      </w:r>
      <w:r>
        <w:rPr>
          <w:szCs w:val="24"/>
        </w:rPr>
        <w:t xml:space="preserve"> </w:t>
      </w:r>
    </w:p>
    <w:p w14:paraId="482DFA7E" w14:textId="23291861" w:rsidR="00A73B67" w:rsidRDefault="004445A4" w:rsidP="00A73B67">
      <w:pPr>
        <w:jc w:val="both"/>
        <w:rPr>
          <w:b/>
          <w:i/>
          <w:lang w:val="en-US"/>
        </w:rPr>
      </w:pPr>
      <w:r>
        <w:rPr>
          <w:b/>
          <w:i/>
          <w:lang w:val="en-US"/>
        </w:rPr>
        <w:lastRenderedPageBreak/>
        <w:t>Proposal</w:t>
      </w:r>
      <w:r w:rsidR="00680EED">
        <w:rPr>
          <w:b/>
          <w:i/>
          <w:lang w:val="en-US"/>
        </w:rPr>
        <w:t xml:space="preserve"> </w:t>
      </w:r>
      <w:r w:rsidR="00FE5C32">
        <w:rPr>
          <w:b/>
          <w:i/>
          <w:lang w:val="en-US"/>
        </w:rPr>
        <w:t>1-2</w:t>
      </w:r>
      <w:r>
        <w:rPr>
          <w:b/>
          <w:i/>
          <w:lang w:val="en-US"/>
        </w:rPr>
        <w:t xml:space="preserve">: </w:t>
      </w:r>
      <w:r w:rsidRPr="004445A4">
        <w:rPr>
          <w:b/>
          <w:i/>
          <w:lang w:val="en-US"/>
        </w:rPr>
        <w:t>RAN4 should conduct quantitative comparisons of implementation options, assessing their RF performance and architectural trade-offs, to support a joint conclusion on the maximum channel bandwidth.</w:t>
      </w:r>
      <w:r w:rsidR="00561173">
        <w:rPr>
          <w:b/>
          <w:i/>
          <w:lang w:val="en-US"/>
        </w:rPr>
        <w:t xml:space="preserve"> </w:t>
      </w:r>
    </w:p>
    <w:p w14:paraId="419FD5F6" w14:textId="1DB06DC7" w:rsidR="00D41F49" w:rsidRDefault="003C5AD9" w:rsidP="00D41F49">
      <w:pPr>
        <w:pStyle w:val="3"/>
      </w:pPr>
      <w:r>
        <w:rPr>
          <w:rFonts w:hint="eastAsia"/>
        </w:rPr>
        <w:t>M</w:t>
      </w:r>
      <w:r>
        <w:t>in channel bandwidth</w:t>
      </w:r>
    </w:p>
    <w:p w14:paraId="745B7F3D" w14:textId="6DBD466C" w:rsidR="00E23B44" w:rsidRPr="005C5502" w:rsidRDefault="005C5502" w:rsidP="005C5502">
      <w:pPr>
        <w:spacing w:afterLines="50" w:after="120"/>
        <w:rPr>
          <w:szCs w:val="21"/>
          <w:lang w:val="en-US"/>
        </w:rPr>
      </w:pPr>
      <w:r w:rsidRPr="005C5502">
        <w:rPr>
          <w:lang w:val="en-US"/>
        </w:rPr>
        <w:t>RAN4 agreement on m</w:t>
      </w:r>
      <w:r>
        <w:rPr>
          <w:lang w:val="en-US"/>
        </w:rPr>
        <w:t>in</w:t>
      </w:r>
      <w:r w:rsidRPr="005C5502">
        <w:rPr>
          <w:lang w:val="en-US"/>
        </w:rPr>
        <w:t xml:space="preserve"> channel bandwidth is excerpted as below.</w:t>
      </w:r>
      <w:r w:rsidR="00E23B44" w:rsidRPr="005C5502">
        <w:rPr>
          <w:szCs w:val="21"/>
          <w:lang w:val="en-US"/>
        </w:rPr>
        <w:t xml:space="preserve"> </w:t>
      </w:r>
    </w:p>
    <w:tbl>
      <w:tblPr>
        <w:tblStyle w:val="aff"/>
        <w:tblW w:w="0" w:type="auto"/>
        <w:tblLook w:val="04A0" w:firstRow="1" w:lastRow="0" w:firstColumn="1" w:lastColumn="0" w:noHBand="0" w:noVBand="1"/>
      </w:tblPr>
      <w:tblGrid>
        <w:gridCol w:w="9631"/>
      </w:tblGrid>
      <w:tr w:rsidR="004B573C" w14:paraId="15642D9B" w14:textId="77777777" w:rsidTr="004B573C">
        <w:tc>
          <w:tcPr>
            <w:tcW w:w="9631" w:type="dxa"/>
          </w:tcPr>
          <w:p w14:paraId="5E263698" w14:textId="77777777" w:rsidR="004B573C" w:rsidRPr="004B573C" w:rsidRDefault="004B573C" w:rsidP="00B31232">
            <w:pPr>
              <w:overflowPunct/>
              <w:autoSpaceDE/>
              <w:autoSpaceDN/>
              <w:adjustRightInd/>
              <w:spacing w:after="120"/>
              <w:ind w:leftChars="-56" w:left="-112"/>
              <w:textAlignment w:val="auto"/>
              <w:rPr>
                <w:szCs w:val="24"/>
                <w:highlight w:val="green"/>
              </w:rPr>
            </w:pPr>
            <w:r w:rsidRPr="004B573C">
              <w:rPr>
                <w:szCs w:val="24"/>
                <w:highlight w:val="green"/>
              </w:rPr>
              <w:t>Agreement</w:t>
            </w:r>
          </w:p>
          <w:p w14:paraId="4A96AF66" w14:textId="77777777" w:rsidR="009C12A8" w:rsidRPr="009C12A8" w:rsidRDefault="009C12A8" w:rsidP="009C12A8">
            <w:pPr>
              <w:pStyle w:val="afff0"/>
              <w:widowControl/>
              <w:numPr>
                <w:ilvl w:val="0"/>
                <w:numId w:val="18"/>
              </w:numPr>
              <w:snapToGrid w:val="0"/>
              <w:ind w:left="470" w:firstLineChars="0" w:hanging="357"/>
              <w:rPr>
                <w:rFonts w:ascii="Times New Roman" w:hAnsi="Times New Roman"/>
                <w:iCs/>
                <w:sz w:val="20"/>
                <w:szCs w:val="21"/>
              </w:rPr>
            </w:pPr>
            <w:r w:rsidRPr="009C12A8">
              <w:rPr>
                <w:rFonts w:ascii="Times New Roman" w:hAnsi="Times New Roman"/>
                <w:iCs/>
                <w:sz w:val="20"/>
                <w:szCs w:val="21"/>
              </w:rPr>
              <w:t>Define minimum CBW based on SCS (e.g., 5 MHz for 15 kHz, 10 MHz for 30 kHz, 50 MHz for 120 kHz).</w:t>
            </w:r>
          </w:p>
          <w:p w14:paraId="11D3C362" w14:textId="77777777" w:rsidR="009C12A8" w:rsidRPr="009C12A8" w:rsidRDefault="009C12A8" w:rsidP="009C12A8">
            <w:pPr>
              <w:pStyle w:val="afff0"/>
              <w:widowControl/>
              <w:numPr>
                <w:ilvl w:val="0"/>
                <w:numId w:val="18"/>
              </w:numPr>
              <w:snapToGrid w:val="0"/>
              <w:ind w:left="470" w:firstLineChars="0" w:hanging="357"/>
              <w:rPr>
                <w:rFonts w:ascii="Times New Roman" w:hAnsi="Times New Roman"/>
                <w:iCs/>
                <w:sz w:val="20"/>
                <w:szCs w:val="21"/>
              </w:rPr>
            </w:pPr>
            <w:r w:rsidRPr="009C12A8">
              <w:rPr>
                <w:rFonts w:ascii="Times New Roman" w:hAnsi="Times New Roman"/>
                <w:iCs/>
                <w:sz w:val="20"/>
                <w:szCs w:val="21"/>
              </w:rPr>
              <w:t xml:space="preserve">Support 3 MHz with 15kHz SCS for particular bands subject to operator requests, commercial need and spectrum regulations, </w:t>
            </w:r>
          </w:p>
          <w:p w14:paraId="30E67D5D" w14:textId="2C619B76" w:rsidR="004B573C" w:rsidRPr="009C12A8" w:rsidRDefault="009C12A8" w:rsidP="009C12A8">
            <w:pPr>
              <w:pStyle w:val="afff0"/>
              <w:widowControl/>
              <w:numPr>
                <w:ilvl w:val="0"/>
                <w:numId w:val="18"/>
              </w:numPr>
              <w:snapToGrid w:val="0"/>
              <w:ind w:left="470" w:firstLineChars="0" w:hanging="357"/>
              <w:rPr>
                <w:rFonts w:ascii="Times New Roman" w:hAnsi="Times New Roman"/>
                <w:iCs/>
                <w:sz w:val="20"/>
                <w:szCs w:val="21"/>
              </w:rPr>
            </w:pPr>
            <w:r w:rsidRPr="009C12A8">
              <w:rPr>
                <w:rFonts w:ascii="Times New Roman" w:hAnsi="Times New Roman"/>
                <w:iCs/>
                <w:sz w:val="20"/>
                <w:szCs w:val="21"/>
              </w:rPr>
              <w:t>Work with RAN1 for the chosen minimum CBW in initial access design to accommodate majority spectrum scenarios.</w:t>
            </w:r>
          </w:p>
        </w:tc>
      </w:tr>
    </w:tbl>
    <w:p w14:paraId="66D215F4" w14:textId="12BD7923" w:rsidR="009C12A8" w:rsidRPr="005C5502" w:rsidRDefault="009C12A8" w:rsidP="009C12A8">
      <w:pPr>
        <w:spacing w:beforeLines="50" w:before="120" w:afterLines="50" w:after="120"/>
        <w:rPr>
          <w:szCs w:val="21"/>
          <w:lang w:val="en-US"/>
        </w:rPr>
      </w:pPr>
      <w:r w:rsidRPr="005C5502">
        <w:rPr>
          <w:lang w:val="en-US"/>
        </w:rPr>
        <w:t>RAN</w:t>
      </w:r>
      <w:r>
        <w:rPr>
          <w:lang w:val="en-US"/>
        </w:rPr>
        <w:t>1</w:t>
      </w:r>
      <w:r w:rsidRPr="005C5502">
        <w:rPr>
          <w:lang w:val="en-US"/>
        </w:rPr>
        <w:t xml:space="preserve"> agreement on m</w:t>
      </w:r>
      <w:r>
        <w:rPr>
          <w:lang w:val="en-US"/>
        </w:rPr>
        <w:t>in</w:t>
      </w:r>
      <w:r w:rsidRPr="005C5502">
        <w:rPr>
          <w:lang w:val="en-US"/>
        </w:rPr>
        <w:t xml:space="preserve"> channel bandwidth is excerpted as below.</w:t>
      </w:r>
      <w:r w:rsidRPr="005C5502">
        <w:rPr>
          <w:szCs w:val="21"/>
          <w:lang w:val="en-US"/>
        </w:rPr>
        <w:t xml:space="preserve"> </w:t>
      </w:r>
    </w:p>
    <w:tbl>
      <w:tblPr>
        <w:tblStyle w:val="aff"/>
        <w:tblW w:w="0" w:type="auto"/>
        <w:tblLook w:val="04A0" w:firstRow="1" w:lastRow="0" w:firstColumn="1" w:lastColumn="0" w:noHBand="0" w:noVBand="1"/>
      </w:tblPr>
      <w:tblGrid>
        <w:gridCol w:w="9631"/>
      </w:tblGrid>
      <w:tr w:rsidR="009C12A8" w14:paraId="603B4898" w14:textId="77777777" w:rsidTr="003B3E9C">
        <w:tc>
          <w:tcPr>
            <w:tcW w:w="9631" w:type="dxa"/>
          </w:tcPr>
          <w:p w14:paraId="24A11DD7" w14:textId="77777777" w:rsidR="009C12A8" w:rsidRPr="004B573C" w:rsidRDefault="009C12A8" w:rsidP="003B3E9C">
            <w:pPr>
              <w:overflowPunct/>
              <w:autoSpaceDE/>
              <w:autoSpaceDN/>
              <w:adjustRightInd/>
              <w:spacing w:after="120"/>
              <w:ind w:leftChars="-56" w:left="-112"/>
              <w:textAlignment w:val="auto"/>
              <w:rPr>
                <w:szCs w:val="24"/>
                <w:highlight w:val="green"/>
              </w:rPr>
            </w:pPr>
            <w:r w:rsidRPr="004B573C">
              <w:rPr>
                <w:szCs w:val="24"/>
                <w:highlight w:val="green"/>
              </w:rPr>
              <w:t>Agreement</w:t>
            </w:r>
          </w:p>
          <w:p w14:paraId="54027FAB" w14:textId="77777777" w:rsidR="009C12A8" w:rsidRPr="009C12A8" w:rsidRDefault="009C12A8" w:rsidP="009C12A8">
            <w:pPr>
              <w:pStyle w:val="afff0"/>
              <w:widowControl/>
              <w:numPr>
                <w:ilvl w:val="0"/>
                <w:numId w:val="18"/>
              </w:numPr>
              <w:snapToGrid w:val="0"/>
              <w:ind w:left="470" w:firstLineChars="0" w:hanging="357"/>
              <w:rPr>
                <w:rFonts w:ascii="Times New Roman" w:hAnsi="Times New Roman"/>
                <w:iCs/>
                <w:sz w:val="20"/>
                <w:szCs w:val="21"/>
              </w:rPr>
            </w:pPr>
            <w:r w:rsidRPr="009C12A8">
              <w:rPr>
                <w:rFonts w:ascii="Times New Roman" w:hAnsi="Times New Roman"/>
                <w:iCs/>
                <w:sz w:val="20"/>
                <w:szCs w:val="21"/>
              </w:rPr>
              <w:t>Define minimum CBW based on SCS (e.g., 5 MHz for 15 kHz, 10 MHz for 30 kHz, 50 MHz for 120 kHz).</w:t>
            </w:r>
          </w:p>
          <w:p w14:paraId="7EE8B6A8" w14:textId="77777777" w:rsidR="009C12A8" w:rsidRPr="009C12A8" w:rsidRDefault="009C12A8" w:rsidP="009C12A8">
            <w:pPr>
              <w:pStyle w:val="afff0"/>
              <w:widowControl/>
              <w:numPr>
                <w:ilvl w:val="0"/>
                <w:numId w:val="18"/>
              </w:numPr>
              <w:snapToGrid w:val="0"/>
              <w:ind w:left="470" w:firstLineChars="0" w:hanging="357"/>
              <w:rPr>
                <w:rFonts w:ascii="Times New Roman" w:hAnsi="Times New Roman"/>
                <w:iCs/>
                <w:sz w:val="20"/>
                <w:szCs w:val="21"/>
              </w:rPr>
            </w:pPr>
            <w:r w:rsidRPr="009C12A8">
              <w:rPr>
                <w:rFonts w:ascii="Times New Roman" w:hAnsi="Times New Roman"/>
                <w:iCs/>
                <w:sz w:val="20"/>
                <w:szCs w:val="21"/>
              </w:rPr>
              <w:t xml:space="preserve">Support 3 MHz with 15kHz SCS for particular bands subject to operator requests, commercial need and spectrum regulations, </w:t>
            </w:r>
          </w:p>
          <w:p w14:paraId="40B44EAE" w14:textId="77777777" w:rsidR="009C12A8" w:rsidRPr="009C12A8" w:rsidRDefault="009C12A8" w:rsidP="009C12A8">
            <w:pPr>
              <w:pStyle w:val="afff0"/>
              <w:widowControl/>
              <w:numPr>
                <w:ilvl w:val="0"/>
                <w:numId w:val="18"/>
              </w:numPr>
              <w:snapToGrid w:val="0"/>
              <w:ind w:left="470" w:firstLineChars="0" w:hanging="357"/>
              <w:rPr>
                <w:rFonts w:ascii="Times New Roman" w:hAnsi="Times New Roman"/>
                <w:iCs/>
                <w:sz w:val="20"/>
                <w:szCs w:val="21"/>
              </w:rPr>
            </w:pPr>
            <w:r w:rsidRPr="009C12A8">
              <w:rPr>
                <w:rFonts w:ascii="Times New Roman" w:hAnsi="Times New Roman"/>
                <w:iCs/>
                <w:sz w:val="20"/>
                <w:szCs w:val="21"/>
              </w:rPr>
              <w:t>Work with RAN1 for the chosen minimum CBW in initial access design to accommodate majority spectrum scenarios.</w:t>
            </w:r>
          </w:p>
        </w:tc>
      </w:tr>
    </w:tbl>
    <w:p w14:paraId="063FF69B" w14:textId="00A68AF2" w:rsidR="002E737D" w:rsidRPr="00B81F8E" w:rsidRDefault="002E737D" w:rsidP="00B81F8E">
      <w:pPr>
        <w:spacing w:beforeLines="50" w:before="120"/>
        <w:jc w:val="both"/>
      </w:pPr>
      <w:r w:rsidRPr="00B81F8E">
        <w:t>The SSB (tentatively used term for 6GR here) design has not yet been finalized in RAN1, which is critical for determining the minimum supported channel bandwidth during initial access. The minimum channel bandwidth required for initial access should be evaluated separately from minimum channel bandwidth for specific operating bands. If the baseline RB number for SSB size remains similar to that in NR, the minimum channel bandwidth for initial access could adopt the same assumptions as 5G, which are tied to different numerologies—for example, 5 MHz for 15 kHz SCS and 10 MHz for 30 kHz SCS.</w:t>
      </w:r>
    </w:p>
    <w:p w14:paraId="5EE44F87" w14:textId="741A4035" w:rsidR="002E737D" w:rsidRPr="002E737D" w:rsidRDefault="00100384" w:rsidP="002E737D">
      <w:pPr>
        <w:snapToGrid w:val="0"/>
        <w:spacing w:after="120" w:line="276" w:lineRule="auto"/>
        <w:jc w:val="both"/>
        <w:rPr>
          <w:lang w:val="en-US"/>
        </w:rPr>
      </w:pPr>
      <w:r>
        <w:rPr>
          <w:lang w:val="en-US"/>
        </w:rPr>
        <w:t>G</w:t>
      </w:r>
      <w:r w:rsidRPr="002E737D">
        <w:rPr>
          <w:lang w:val="en-US"/>
        </w:rPr>
        <w:t>iven global spectrum allocation patterns</w:t>
      </w:r>
      <w:r>
        <w:rPr>
          <w:lang w:val="en-US"/>
        </w:rPr>
        <w:t>,</w:t>
      </w:r>
      <w:r w:rsidRPr="002E737D">
        <w:rPr>
          <w:lang w:val="en-US"/>
        </w:rPr>
        <w:t xml:space="preserve"> </w:t>
      </w:r>
      <w:r>
        <w:rPr>
          <w:lang w:val="en-US"/>
        </w:rPr>
        <w:t>w</w:t>
      </w:r>
      <w:r w:rsidR="002E737D" w:rsidRPr="002E737D">
        <w:rPr>
          <w:lang w:val="en-US"/>
        </w:rPr>
        <w:t xml:space="preserve">e recognize that some operators may hold 3 MHz of spectrum in certain cases. For such scenarios, the approach used in NR could still be considered: treating 3 MHz as an exceptional case while optimizing the physical layer design for </w:t>
      </w:r>
      <w:r>
        <w:rPr>
          <w:lang w:val="en-US"/>
        </w:rPr>
        <w:t xml:space="preserve">most scenarios and </w:t>
      </w:r>
      <w:r w:rsidR="002E737D" w:rsidRPr="002E737D">
        <w:rPr>
          <w:lang w:val="en-US"/>
        </w:rPr>
        <w:t>typical bandwidths. However, this should be a RAN1 decision as part of the initial access design.</w:t>
      </w:r>
    </w:p>
    <w:p w14:paraId="77CBE939" w14:textId="77777777" w:rsidR="002E737D" w:rsidRPr="002E737D" w:rsidRDefault="002E737D" w:rsidP="002E737D">
      <w:pPr>
        <w:snapToGrid w:val="0"/>
        <w:spacing w:after="120" w:line="276" w:lineRule="auto"/>
        <w:jc w:val="both"/>
        <w:rPr>
          <w:lang w:val="en-US"/>
        </w:rPr>
      </w:pPr>
      <w:r w:rsidRPr="002E737D">
        <w:rPr>
          <w:lang w:val="en-US"/>
        </w:rPr>
        <w:t>In the current RAN4 specifications, the minimum channel bandwidth is determined on a case-by-case basis for specific operating bands within different frequency ranges. As usual, this process incorporates operator inputs and reflects actual spectrum allocation conditions.</w:t>
      </w:r>
    </w:p>
    <w:p w14:paraId="3A598945" w14:textId="6CD00EE2" w:rsidR="002E737D" w:rsidRPr="00100384" w:rsidRDefault="002E737D" w:rsidP="002E737D">
      <w:pPr>
        <w:snapToGrid w:val="0"/>
        <w:spacing w:after="120" w:line="276" w:lineRule="auto"/>
        <w:jc w:val="both"/>
        <w:rPr>
          <w:b/>
          <w:bCs/>
          <w:i/>
          <w:iCs/>
        </w:rPr>
      </w:pPr>
      <w:r w:rsidRPr="00100384">
        <w:rPr>
          <w:b/>
          <w:bCs/>
          <w:i/>
          <w:iCs/>
        </w:rPr>
        <w:t>Proposal</w:t>
      </w:r>
      <w:r w:rsidR="00680EED">
        <w:rPr>
          <w:b/>
          <w:bCs/>
          <w:i/>
          <w:iCs/>
        </w:rPr>
        <w:t xml:space="preserve"> </w:t>
      </w:r>
      <w:r w:rsidR="00FE5C32">
        <w:rPr>
          <w:b/>
          <w:bCs/>
          <w:i/>
          <w:iCs/>
        </w:rPr>
        <w:t>2-1</w:t>
      </w:r>
      <w:r w:rsidRPr="00100384">
        <w:rPr>
          <w:b/>
          <w:bCs/>
          <w:i/>
          <w:iCs/>
        </w:rPr>
        <w:t>: Decouple the minimum channel bandwidth defined for specific spectrum/operating bands from the minimum channel bandwidth required for initial access. The latter should be determined by RAN1 as part of the initial access design.</w:t>
      </w:r>
    </w:p>
    <w:p w14:paraId="73824604" w14:textId="54BAA1BE" w:rsidR="00D41F49" w:rsidRDefault="003C5AD9" w:rsidP="00D41F49">
      <w:pPr>
        <w:pStyle w:val="3"/>
      </w:pPr>
      <w:r>
        <w:t>Numerology</w:t>
      </w:r>
    </w:p>
    <w:p w14:paraId="1B50386B" w14:textId="6EEB8DB8" w:rsidR="005453C3" w:rsidRDefault="005453C3" w:rsidP="005453C3">
      <w:pPr>
        <w:jc w:val="both"/>
      </w:pPr>
      <w:r w:rsidRPr="005C5502">
        <w:rPr>
          <w:lang w:val="en-US"/>
        </w:rPr>
        <w:t xml:space="preserve">RAN4 agreement on </w:t>
      </w:r>
      <w:r>
        <w:rPr>
          <w:lang w:val="en-US"/>
        </w:rPr>
        <w:t>numerology</w:t>
      </w:r>
      <w:r w:rsidRPr="005C5502">
        <w:rPr>
          <w:lang w:val="en-US"/>
        </w:rPr>
        <w:t xml:space="preserve"> is excerpted as below.</w:t>
      </w:r>
    </w:p>
    <w:tbl>
      <w:tblPr>
        <w:tblStyle w:val="aff"/>
        <w:tblW w:w="5000" w:type="pct"/>
        <w:tblLook w:val="04A0" w:firstRow="1" w:lastRow="0" w:firstColumn="1" w:lastColumn="0" w:noHBand="0" w:noVBand="1"/>
      </w:tblPr>
      <w:tblGrid>
        <w:gridCol w:w="9631"/>
      </w:tblGrid>
      <w:tr w:rsidR="00FE5004" w14:paraId="3FFCC8B5" w14:textId="77777777" w:rsidTr="005453C3">
        <w:tc>
          <w:tcPr>
            <w:tcW w:w="5000" w:type="pct"/>
          </w:tcPr>
          <w:p w14:paraId="6DE48709" w14:textId="77777777" w:rsidR="00FE5004" w:rsidRPr="00FE5004" w:rsidRDefault="00FE5004" w:rsidP="00DB20B9">
            <w:pPr>
              <w:overflowPunct/>
              <w:autoSpaceDE/>
              <w:autoSpaceDN/>
              <w:adjustRightInd/>
              <w:spacing w:after="0"/>
              <w:textAlignment w:val="auto"/>
              <w:rPr>
                <w:szCs w:val="24"/>
                <w:highlight w:val="green"/>
              </w:rPr>
            </w:pPr>
            <w:r w:rsidRPr="00FE5004">
              <w:rPr>
                <w:szCs w:val="24"/>
                <w:highlight w:val="green"/>
              </w:rPr>
              <w:t>Agreement</w:t>
            </w:r>
          </w:p>
          <w:p w14:paraId="53FE0A3E" w14:textId="77777777" w:rsidR="00DB20B9" w:rsidRPr="00DB20B9" w:rsidRDefault="00DB20B9" w:rsidP="00DB20B9">
            <w:pPr>
              <w:pStyle w:val="afff0"/>
              <w:widowControl/>
              <w:numPr>
                <w:ilvl w:val="0"/>
                <w:numId w:val="18"/>
              </w:numPr>
              <w:overflowPunct w:val="0"/>
              <w:autoSpaceDE w:val="0"/>
              <w:autoSpaceDN w:val="0"/>
              <w:adjustRightInd w:val="0"/>
              <w:snapToGrid w:val="0"/>
              <w:ind w:firstLineChars="0"/>
              <w:textAlignment w:val="baseline"/>
              <w:rPr>
                <w:rFonts w:ascii="Times New Roman" w:hAnsi="Times New Roman"/>
                <w:sz w:val="20"/>
                <w:szCs w:val="21"/>
                <w:lang w:eastAsia="zh-CN"/>
              </w:rPr>
            </w:pPr>
            <w:r w:rsidRPr="00DB20B9">
              <w:rPr>
                <w:rFonts w:ascii="Times New Roman" w:hAnsi="Times New Roman"/>
                <w:sz w:val="20"/>
                <w:szCs w:val="21"/>
                <w:lang w:eastAsia="zh-CN"/>
              </w:rPr>
              <w:t xml:space="preserve">Evaluate the following proposals regarding numerology from RAN4 perspective </w:t>
            </w:r>
          </w:p>
          <w:p w14:paraId="53DBC0F7" w14:textId="77777777" w:rsidR="00DB20B9" w:rsidRPr="00DB20B9" w:rsidRDefault="00DB20B9" w:rsidP="00DB20B9">
            <w:pPr>
              <w:pStyle w:val="afff0"/>
              <w:widowControl/>
              <w:numPr>
                <w:ilvl w:val="1"/>
                <w:numId w:val="18"/>
              </w:numPr>
              <w:overflowPunct w:val="0"/>
              <w:autoSpaceDE w:val="0"/>
              <w:autoSpaceDN w:val="0"/>
              <w:adjustRightInd w:val="0"/>
              <w:snapToGrid w:val="0"/>
              <w:ind w:firstLineChars="0"/>
              <w:textAlignment w:val="baseline"/>
              <w:rPr>
                <w:rFonts w:ascii="Times New Roman" w:hAnsi="Times New Roman"/>
                <w:sz w:val="20"/>
                <w:szCs w:val="21"/>
                <w:lang w:eastAsia="zh-CN"/>
              </w:rPr>
            </w:pPr>
            <w:r w:rsidRPr="00DB20B9">
              <w:rPr>
                <w:rFonts w:ascii="Times New Roman" w:hAnsi="Times New Roman"/>
                <w:sz w:val="20"/>
                <w:szCs w:val="21"/>
                <w:lang w:eastAsia="zh-CN"/>
              </w:rPr>
              <w:t>"Single numerology" proposal</w:t>
            </w:r>
          </w:p>
          <w:p w14:paraId="3086B8C5" w14:textId="77777777" w:rsidR="00DB20B9" w:rsidRPr="00DB20B9" w:rsidRDefault="00DB20B9" w:rsidP="00DB20B9">
            <w:pPr>
              <w:pStyle w:val="afff0"/>
              <w:widowControl/>
              <w:numPr>
                <w:ilvl w:val="2"/>
                <w:numId w:val="18"/>
              </w:numPr>
              <w:overflowPunct w:val="0"/>
              <w:autoSpaceDE w:val="0"/>
              <w:autoSpaceDN w:val="0"/>
              <w:adjustRightInd w:val="0"/>
              <w:snapToGrid w:val="0"/>
              <w:ind w:firstLineChars="0"/>
              <w:textAlignment w:val="baseline"/>
              <w:rPr>
                <w:rFonts w:ascii="Times New Roman" w:hAnsi="Times New Roman"/>
                <w:sz w:val="20"/>
                <w:szCs w:val="21"/>
                <w:lang w:eastAsia="zh-CN"/>
              </w:rPr>
            </w:pPr>
            <w:r w:rsidRPr="00DB20B9">
              <w:rPr>
                <w:rFonts w:ascii="Times New Roman" w:hAnsi="Times New Roman"/>
                <w:sz w:val="20"/>
                <w:szCs w:val="21"/>
                <w:lang w:eastAsia="zh-CN"/>
              </w:rPr>
              <w:t>Single SCS for one band or frequency sub-range</w:t>
            </w:r>
          </w:p>
          <w:p w14:paraId="3B6B2CC4" w14:textId="77777777" w:rsidR="00DB20B9" w:rsidRPr="00DB20B9" w:rsidRDefault="00DB20B9" w:rsidP="00DB20B9">
            <w:pPr>
              <w:pStyle w:val="afff0"/>
              <w:widowControl/>
              <w:numPr>
                <w:ilvl w:val="2"/>
                <w:numId w:val="18"/>
              </w:numPr>
              <w:overflowPunct w:val="0"/>
              <w:autoSpaceDE w:val="0"/>
              <w:autoSpaceDN w:val="0"/>
              <w:adjustRightInd w:val="0"/>
              <w:snapToGrid w:val="0"/>
              <w:ind w:firstLineChars="0"/>
              <w:textAlignment w:val="baseline"/>
              <w:rPr>
                <w:rFonts w:ascii="Times New Roman" w:hAnsi="Times New Roman"/>
                <w:sz w:val="20"/>
                <w:szCs w:val="21"/>
                <w:lang w:eastAsia="zh-CN"/>
              </w:rPr>
            </w:pPr>
            <w:r w:rsidRPr="00DB20B9">
              <w:rPr>
                <w:rFonts w:ascii="Times New Roman" w:eastAsiaTheme="minorEastAsia" w:hAnsi="Times New Roman"/>
                <w:iCs/>
                <w:sz w:val="20"/>
                <w:szCs w:val="21"/>
                <w:lang w:eastAsia="zh-CN"/>
              </w:rPr>
              <w:t>Same SCS for SSB and Data in one band</w:t>
            </w:r>
          </w:p>
          <w:p w14:paraId="19A134D2" w14:textId="77777777" w:rsidR="00DB20B9" w:rsidRPr="00DB20B9" w:rsidRDefault="00DB20B9" w:rsidP="00DB20B9">
            <w:pPr>
              <w:pStyle w:val="afff0"/>
              <w:widowControl/>
              <w:numPr>
                <w:ilvl w:val="1"/>
                <w:numId w:val="18"/>
              </w:numPr>
              <w:overflowPunct w:val="0"/>
              <w:autoSpaceDE w:val="0"/>
              <w:autoSpaceDN w:val="0"/>
              <w:adjustRightInd w:val="0"/>
              <w:snapToGrid w:val="0"/>
              <w:ind w:firstLineChars="0"/>
              <w:textAlignment w:val="baseline"/>
              <w:rPr>
                <w:rFonts w:ascii="Times New Roman" w:hAnsi="Times New Roman"/>
                <w:sz w:val="20"/>
                <w:szCs w:val="21"/>
                <w:lang w:eastAsia="zh-CN"/>
              </w:rPr>
            </w:pPr>
            <w:r w:rsidRPr="00DB20B9">
              <w:rPr>
                <w:rFonts w:ascii="Times New Roman" w:eastAsia="Yu Mincho" w:hAnsi="Times New Roman"/>
                <w:sz w:val="20"/>
                <w:szCs w:val="21"/>
                <w:lang w:eastAsia="ja-JP"/>
              </w:rPr>
              <w:t xml:space="preserve">Frequency sub-range/Band </w:t>
            </w:r>
            <w:r w:rsidRPr="00DB20B9">
              <w:rPr>
                <w:rFonts w:ascii="Times New Roman" w:hAnsi="Times New Roman"/>
                <w:sz w:val="20"/>
                <w:szCs w:val="21"/>
                <w:lang w:eastAsia="zh-CN"/>
              </w:rPr>
              <w:t>specific SCS values</w:t>
            </w:r>
          </w:p>
          <w:p w14:paraId="5874190E" w14:textId="77777777" w:rsidR="00DB20B9" w:rsidRPr="00DB20B9" w:rsidRDefault="00DB20B9" w:rsidP="00DB20B9">
            <w:pPr>
              <w:pStyle w:val="afff0"/>
              <w:widowControl/>
              <w:numPr>
                <w:ilvl w:val="2"/>
                <w:numId w:val="18"/>
              </w:numPr>
              <w:overflowPunct w:val="0"/>
              <w:autoSpaceDE w:val="0"/>
              <w:autoSpaceDN w:val="0"/>
              <w:adjustRightInd w:val="0"/>
              <w:snapToGrid w:val="0"/>
              <w:ind w:firstLineChars="0"/>
              <w:textAlignment w:val="baseline"/>
              <w:rPr>
                <w:rFonts w:ascii="Times New Roman" w:hAnsi="Times New Roman"/>
                <w:sz w:val="20"/>
                <w:szCs w:val="21"/>
                <w:lang w:eastAsia="zh-CN"/>
              </w:rPr>
            </w:pPr>
            <w:r w:rsidRPr="00DB20B9">
              <w:rPr>
                <w:rFonts w:ascii="Times New Roman" w:eastAsia="Yu Mincho" w:hAnsi="Times New Roman"/>
                <w:sz w:val="20"/>
                <w:szCs w:val="21"/>
                <w:lang w:eastAsia="ja-JP"/>
              </w:rPr>
              <w:t>Co-ordinate and align with RAN1 discussion and agreements</w:t>
            </w:r>
          </w:p>
          <w:p w14:paraId="78F213D6" w14:textId="77777777" w:rsidR="00DB20B9" w:rsidRPr="00DB20B9" w:rsidRDefault="00DB20B9" w:rsidP="00DB20B9">
            <w:pPr>
              <w:pStyle w:val="afff0"/>
              <w:widowControl/>
              <w:numPr>
                <w:ilvl w:val="1"/>
                <w:numId w:val="18"/>
              </w:numPr>
              <w:overflowPunct w:val="0"/>
              <w:autoSpaceDE w:val="0"/>
              <w:autoSpaceDN w:val="0"/>
              <w:adjustRightInd w:val="0"/>
              <w:snapToGrid w:val="0"/>
              <w:ind w:firstLineChars="0"/>
              <w:textAlignment w:val="baseline"/>
              <w:rPr>
                <w:rFonts w:ascii="Times New Roman" w:hAnsi="Times New Roman"/>
                <w:sz w:val="20"/>
                <w:szCs w:val="21"/>
                <w:lang w:eastAsia="zh-CN"/>
              </w:rPr>
            </w:pPr>
            <w:r w:rsidRPr="00DB20B9">
              <w:rPr>
                <w:rFonts w:ascii="Times New Roman" w:hAnsi="Times New Roman"/>
                <w:sz w:val="20"/>
                <w:szCs w:val="21"/>
                <w:lang w:eastAsia="zh-CN"/>
              </w:rPr>
              <w:t>Numerology for specific scenarios, like NTN and ISAC</w:t>
            </w:r>
          </w:p>
          <w:p w14:paraId="6A32F563" w14:textId="1CA09376" w:rsidR="00FE5004" w:rsidRPr="00DB20B9" w:rsidRDefault="00DB20B9" w:rsidP="00DB20B9">
            <w:pPr>
              <w:pStyle w:val="afff0"/>
              <w:widowControl/>
              <w:numPr>
                <w:ilvl w:val="2"/>
                <w:numId w:val="18"/>
              </w:numPr>
              <w:overflowPunct w:val="0"/>
              <w:autoSpaceDE w:val="0"/>
              <w:autoSpaceDN w:val="0"/>
              <w:adjustRightInd w:val="0"/>
              <w:snapToGrid w:val="0"/>
              <w:ind w:firstLineChars="0"/>
              <w:textAlignment w:val="baseline"/>
              <w:rPr>
                <w:rFonts w:ascii="Times New Roman" w:hAnsi="Times New Roman"/>
                <w:sz w:val="20"/>
                <w:szCs w:val="21"/>
                <w:lang w:eastAsia="zh-CN"/>
              </w:rPr>
            </w:pPr>
            <w:r w:rsidRPr="00DB20B9">
              <w:rPr>
                <w:rFonts w:ascii="Times New Roman" w:hAnsi="Times New Roman"/>
                <w:sz w:val="20"/>
                <w:szCs w:val="21"/>
                <w:lang w:eastAsia="zh-CN"/>
              </w:rPr>
              <w:t>RAN1 progress should be taken into account</w:t>
            </w:r>
          </w:p>
        </w:tc>
      </w:tr>
    </w:tbl>
    <w:p w14:paraId="44464187" w14:textId="61E95F55" w:rsidR="00FE5004" w:rsidRDefault="00BD2D98" w:rsidP="009A2C11">
      <w:pPr>
        <w:snapToGrid w:val="0"/>
        <w:spacing w:beforeLines="50" w:before="120" w:after="0"/>
        <w:jc w:val="both"/>
        <w:rPr>
          <w:szCs w:val="24"/>
        </w:rPr>
      </w:pPr>
      <w:r>
        <w:rPr>
          <w:rFonts w:hint="eastAsia"/>
        </w:rPr>
        <w:t>N</w:t>
      </w:r>
      <w:r>
        <w:t xml:space="preserve">umerology is a topic extensively discussed in both RAN1 and RAN meetings. </w:t>
      </w:r>
      <w:r w:rsidR="009A2C11">
        <w:t xml:space="preserve">So far, </w:t>
      </w:r>
      <w:r w:rsidR="009A2C11" w:rsidRPr="00FE5004">
        <w:rPr>
          <w:szCs w:val="24"/>
        </w:rPr>
        <w:t>"Single numerology" proposal</w:t>
      </w:r>
      <w:r w:rsidR="009A2C11">
        <w:rPr>
          <w:szCs w:val="24"/>
        </w:rPr>
        <w:t xml:space="preserve"> is popular in RAN4, such as:</w:t>
      </w:r>
    </w:p>
    <w:p w14:paraId="1D324751" w14:textId="478DDD91" w:rsidR="009A2C11" w:rsidRDefault="009A2C11" w:rsidP="009A2C11">
      <w:pPr>
        <w:pStyle w:val="afff0"/>
        <w:snapToGrid w:val="0"/>
        <w:ind w:left="420" w:firstLineChars="0" w:firstLine="0"/>
        <w:rPr>
          <w:rFonts w:ascii="Times New Roman" w:hAnsi="Times New Roman"/>
          <w:sz w:val="20"/>
          <w:szCs w:val="21"/>
          <w:lang w:val="en-US"/>
        </w:rPr>
      </w:pPr>
      <w:r>
        <w:rPr>
          <w:rFonts w:ascii="Times New Roman" w:hAnsi="Times New Roman" w:hint="eastAsia"/>
          <w:sz w:val="20"/>
          <w:szCs w:val="21"/>
          <w:lang w:val="en-US" w:eastAsia="zh-CN"/>
        </w:rPr>
        <w:t>F</w:t>
      </w:r>
      <w:r>
        <w:rPr>
          <w:rFonts w:ascii="Times New Roman" w:hAnsi="Times New Roman"/>
          <w:sz w:val="20"/>
          <w:szCs w:val="21"/>
          <w:lang w:val="en-US" w:eastAsia="zh-CN"/>
        </w:rPr>
        <w:t>or sub-6GHz</w:t>
      </w:r>
    </w:p>
    <w:p w14:paraId="50FB3178" w14:textId="2879EA55" w:rsidR="009A2C11" w:rsidRDefault="009A2C11" w:rsidP="009A2C11">
      <w:pPr>
        <w:pStyle w:val="afff0"/>
        <w:numPr>
          <w:ilvl w:val="0"/>
          <w:numId w:val="22"/>
        </w:numPr>
        <w:snapToGrid w:val="0"/>
        <w:ind w:firstLineChars="0"/>
        <w:rPr>
          <w:rFonts w:ascii="Times New Roman" w:hAnsi="Times New Roman"/>
          <w:sz w:val="20"/>
          <w:szCs w:val="21"/>
          <w:lang w:val="en-US"/>
        </w:rPr>
      </w:pPr>
      <w:r w:rsidRPr="009A2C11">
        <w:rPr>
          <w:rFonts w:ascii="Times New Roman" w:hAnsi="Times New Roman"/>
          <w:sz w:val="20"/>
          <w:szCs w:val="21"/>
          <w:lang w:val="en-US"/>
        </w:rPr>
        <w:t>15kHz SCS for FDD, 30kHz SCS for TDD</w:t>
      </w:r>
    </w:p>
    <w:p w14:paraId="681F8383" w14:textId="1FE91D8B" w:rsidR="009A2C11" w:rsidRPr="009A2C11" w:rsidRDefault="009A2C11" w:rsidP="009A2C11">
      <w:pPr>
        <w:pStyle w:val="afff0"/>
        <w:snapToGrid w:val="0"/>
        <w:ind w:left="420" w:firstLineChars="0" w:firstLine="0"/>
        <w:rPr>
          <w:rFonts w:ascii="Times New Roman" w:hAnsi="Times New Roman"/>
          <w:sz w:val="20"/>
          <w:szCs w:val="21"/>
          <w:lang w:val="en-US" w:eastAsia="zh-CN"/>
        </w:rPr>
      </w:pPr>
      <w:r>
        <w:rPr>
          <w:rFonts w:ascii="Times New Roman" w:hAnsi="Times New Roman" w:hint="eastAsia"/>
          <w:sz w:val="20"/>
          <w:szCs w:val="21"/>
          <w:lang w:val="en-US" w:eastAsia="zh-CN"/>
        </w:rPr>
        <w:lastRenderedPageBreak/>
        <w:t>F</w:t>
      </w:r>
      <w:r>
        <w:rPr>
          <w:rFonts w:ascii="Times New Roman" w:hAnsi="Times New Roman"/>
          <w:sz w:val="20"/>
          <w:szCs w:val="21"/>
          <w:lang w:val="en-US" w:eastAsia="zh-CN"/>
        </w:rPr>
        <w:t>or around 7GHz</w:t>
      </w:r>
    </w:p>
    <w:p w14:paraId="60461A8B" w14:textId="2E8AC654" w:rsidR="009A2C11" w:rsidRDefault="009A2C11" w:rsidP="009A2C11">
      <w:pPr>
        <w:pStyle w:val="afff0"/>
        <w:numPr>
          <w:ilvl w:val="0"/>
          <w:numId w:val="22"/>
        </w:numPr>
        <w:snapToGrid w:val="0"/>
        <w:ind w:firstLineChars="0"/>
        <w:rPr>
          <w:rFonts w:ascii="Times New Roman" w:hAnsi="Times New Roman"/>
          <w:sz w:val="20"/>
          <w:szCs w:val="21"/>
          <w:lang w:val="en-US"/>
        </w:rPr>
      </w:pPr>
      <w:r w:rsidRPr="009A2C11">
        <w:rPr>
          <w:rFonts w:ascii="Times New Roman" w:hAnsi="Times New Roman"/>
          <w:sz w:val="20"/>
          <w:szCs w:val="21"/>
          <w:lang w:val="en-US"/>
        </w:rPr>
        <w:t>30kHz SCS</w:t>
      </w:r>
    </w:p>
    <w:p w14:paraId="45679C79" w14:textId="78450AFA" w:rsidR="009A2C11" w:rsidRDefault="009A2C11" w:rsidP="009A2C11">
      <w:pPr>
        <w:pStyle w:val="afff0"/>
        <w:snapToGrid w:val="0"/>
        <w:ind w:left="420" w:firstLineChars="0" w:firstLine="0"/>
        <w:rPr>
          <w:rFonts w:ascii="Times New Roman" w:hAnsi="Times New Roman"/>
          <w:sz w:val="20"/>
          <w:szCs w:val="21"/>
          <w:lang w:val="en-US"/>
        </w:rPr>
      </w:pPr>
      <w:r w:rsidRPr="009A2C11">
        <w:rPr>
          <w:rFonts w:ascii="Times New Roman" w:hAnsi="Times New Roman"/>
          <w:sz w:val="20"/>
          <w:szCs w:val="21"/>
          <w:lang w:val="en-US"/>
        </w:rPr>
        <w:t>For between 24.25GHz - 52.6GHz</w:t>
      </w:r>
    </w:p>
    <w:p w14:paraId="0BC320F8" w14:textId="6517E76C" w:rsidR="009A2C11" w:rsidRPr="009A2C11" w:rsidRDefault="009A2C11" w:rsidP="009A2C11">
      <w:pPr>
        <w:pStyle w:val="afff0"/>
        <w:numPr>
          <w:ilvl w:val="0"/>
          <w:numId w:val="22"/>
        </w:numPr>
        <w:snapToGrid w:val="0"/>
        <w:ind w:firstLineChars="0"/>
        <w:rPr>
          <w:rFonts w:ascii="Times New Roman" w:hAnsi="Times New Roman"/>
          <w:sz w:val="20"/>
          <w:szCs w:val="21"/>
          <w:lang w:val="en-US"/>
        </w:rPr>
      </w:pPr>
      <w:r>
        <w:rPr>
          <w:rFonts w:ascii="Times New Roman" w:hAnsi="Times New Roman" w:hint="eastAsia"/>
          <w:sz w:val="20"/>
          <w:szCs w:val="21"/>
          <w:lang w:val="en-US" w:eastAsia="zh-CN"/>
        </w:rPr>
        <w:t>1</w:t>
      </w:r>
      <w:r>
        <w:rPr>
          <w:rFonts w:ascii="Times New Roman" w:hAnsi="Times New Roman"/>
          <w:sz w:val="20"/>
          <w:szCs w:val="21"/>
          <w:lang w:val="en-US" w:eastAsia="zh-CN"/>
        </w:rPr>
        <w:t>20kHz SCS</w:t>
      </w:r>
    </w:p>
    <w:p w14:paraId="1F2D1857" w14:textId="62CC72B2" w:rsidR="00994CC2" w:rsidRDefault="00994CC2" w:rsidP="00994CC2">
      <w:pPr>
        <w:snapToGrid w:val="0"/>
        <w:spacing w:beforeLines="50" w:before="120" w:after="60"/>
        <w:jc w:val="both"/>
        <w:rPr>
          <w:szCs w:val="21"/>
          <w:lang w:val="x-none"/>
        </w:rPr>
      </w:pPr>
      <w:r>
        <w:rPr>
          <w:rFonts w:hint="eastAsia"/>
          <w:szCs w:val="21"/>
          <w:lang w:val="x-none"/>
        </w:rPr>
        <w:t>N</w:t>
      </w:r>
      <w:r>
        <w:rPr>
          <w:szCs w:val="21"/>
          <w:lang w:val="x-none"/>
        </w:rPr>
        <w:t>otably, there was a conclusion in last RAN meeting on 30kHz SCS for FDD:</w:t>
      </w:r>
    </w:p>
    <w:tbl>
      <w:tblPr>
        <w:tblStyle w:val="aff"/>
        <w:tblW w:w="5000" w:type="pct"/>
        <w:tblLook w:val="04A0" w:firstRow="1" w:lastRow="0" w:firstColumn="1" w:lastColumn="0" w:noHBand="0" w:noVBand="1"/>
      </w:tblPr>
      <w:tblGrid>
        <w:gridCol w:w="9631"/>
      </w:tblGrid>
      <w:tr w:rsidR="00994CC2" w14:paraId="16EC058E" w14:textId="77777777" w:rsidTr="003B3E9C">
        <w:tc>
          <w:tcPr>
            <w:tcW w:w="5000" w:type="pct"/>
          </w:tcPr>
          <w:p w14:paraId="55D58175" w14:textId="50E591DE" w:rsidR="00994CC2" w:rsidRDefault="00994CC2" w:rsidP="00994CC2">
            <w:pPr>
              <w:widowControl w:val="0"/>
              <w:tabs>
                <w:tab w:val="left" w:pos="90"/>
                <w:tab w:val="left" w:pos="1868"/>
                <w:tab w:val="right" w:pos="10648"/>
              </w:tabs>
              <w:spacing w:after="0"/>
              <w:rPr>
                <w:rFonts w:ascii="Arial" w:hAnsi="Arial" w:cs="Arial"/>
              </w:rPr>
            </w:pPr>
            <w:r>
              <w:rPr>
                <w:b/>
                <w:bCs/>
                <w:color w:val="0000FF"/>
              </w:rPr>
              <w:t>RP-253229</w:t>
            </w:r>
          </w:p>
          <w:p w14:paraId="05F1F4E6" w14:textId="77777777" w:rsidR="00994CC2" w:rsidRPr="00994CC2" w:rsidRDefault="00994CC2" w:rsidP="00994CC2">
            <w:pPr>
              <w:widowControl w:val="0"/>
              <w:tabs>
                <w:tab w:val="left" w:pos="90"/>
                <w:tab w:val="left" w:pos="1868"/>
                <w:tab w:val="right" w:pos="10648"/>
              </w:tabs>
              <w:spacing w:after="0"/>
            </w:pPr>
            <w:r w:rsidRPr="00994CC2">
              <w:t xml:space="preserve">Apple: we are not convinced that 30kHz support needs to be introduced, is also against SID which asks to avoid </w:t>
            </w:r>
          </w:p>
          <w:p w14:paraId="2E4CCC56" w14:textId="77777777" w:rsidR="00994CC2" w:rsidRPr="00994CC2" w:rsidRDefault="00994CC2" w:rsidP="00994CC2">
            <w:pPr>
              <w:widowControl w:val="0"/>
              <w:tabs>
                <w:tab w:val="left" w:pos="90"/>
                <w:tab w:val="left" w:pos="1868"/>
                <w:tab w:val="right" w:pos="10648"/>
              </w:tabs>
              <w:spacing w:after="0"/>
            </w:pPr>
            <w:r w:rsidRPr="00994CC2">
              <w:t>introduction of different numerologies</w:t>
            </w:r>
          </w:p>
          <w:p w14:paraId="5347BC3C" w14:textId="77777777" w:rsidR="00994CC2" w:rsidRPr="00994CC2" w:rsidRDefault="00994CC2" w:rsidP="00994CC2">
            <w:pPr>
              <w:widowControl w:val="0"/>
              <w:tabs>
                <w:tab w:val="left" w:pos="90"/>
                <w:tab w:val="left" w:pos="1868"/>
                <w:tab w:val="right" w:pos="10648"/>
              </w:tabs>
              <w:spacing w:after="0"/>
            </w:pPr>
            <w:r w:rsidRPr="00994CC2">
              <w:t>Nokia: we are against introducing such an option (discussed this already last time)</w:t>
            </w:r>
          </w:p>
          <w:p w14:paraId="020D1E18" w14:textId="77777777" w:rsidR="00994CC2" w:rsidRPr="00994CC2" w:rsidRDefault="00994CC2" w:rsidP="00994CC2">
            <w:pPr>
              <w:widowControl w:val="0"/>
              <w:tabs>
                <w:tab w:val="left" w:pos="90"/>
                <w:tab w:val="left" w:pos="1868"/>
                <w:tab w:val="right" w:pos="10648"/>
              </w:tabs>
              <w:spacing w:after="0"/>
            </w:pPr>
            <w:r w:rsidRPr="00994CC2">
              <w:t>Orange: duplication, fragmentation worries us, 15kHz is mandatory</w:t>
            </w:r>
          </w:p>
          <w:p w14:paraId="4C483F75" w14:textId="77777777" w:rsidR="00994CC2" w:rsidRPr="00994CC2" w:rsidRDefault="00994CC2" w:rsidP="00994CC2">
            <w:pPr>
              <w:widowControl w:val="0"/>
              <w:tabs>
                <w:tab w:val="left" w:pos="90"/>
                <w:tab w:val="left" w:pos="1868"/>
                <w:tab w:val="right" w:pos="10648"/>
              </w:tabs>
              <w:spacing w:after="0"/>
            </w:pPr>
            <w:r w:rsidRPr="00994CC2">
              <w:t xml:space="preserve">Samsung, Xiaomi: </w:t>
            </w:r>
            <w:proofErr w:type="gramStart"/>
            <w:r w:rsidRPr="00994CC2">
              <w:t>also</w:t>
            </w:r>
            <w:proofErr w:type="gramEnd"/>
            <w:r w:rsidRPr="00994CC2">
              <w:t xml:space="preserve"> against such an option</w:t>
            </w:r>
          </w:p>
          <w:p w14:paraId="0AB742F3" w14:textId="77777777" w:rsidR="00994CC2" w:rsidRPr="00994CC2" w:rsidRDefault="00994CC2" w:rsidP="00994CC2">
            <w:pPr>
              <w:widowControl w:val="0"/>
              <w:tabs>
                <w:tab w:val="left" w:pos="90"/>
                <w:tab w:val="left" w:pos="1868"/>
                <w:tab w:val="right" w:pos="10648"/>
              </w:tabs>
              <w:spacing w:after="0"/>
            </w:pPr>
            <w:r w:rsidRPr="00994CC2">
              <w:t>T-Mobile: for 5G everyone used 15kHz, so we do not need to support 15kHz and 30kHz in FDD for 6G</w:t>
            </w:r>
          </w:p>
          <w:p w14:paraId="33902DC8" w14:textId="77777777" w:rsidR="00994CC2" w:rsidRPr="00994CC2" w:rsidRDefault="00994CC2" w:rsidP="00994CC2">
            <w:pPr>
              <w:widowControl w:val="0"/>
              <w:tabs>
                <w:tab w:val="left" w:pos="90"/>
                <w:tab w:val="left" w:pos="1868"/>
                <w:tab w:val="right" w:pos="10648"/>
              </w:tabs>
              <w:spacing w:after="0"/>
            </w:pPr>
            <w:r w:rsidRPr="00994CC2">
              <w:t>Panasonic: TDD is same as FDD so does not see a complexity issue; TDD with full DL is same as FDD</w:t>
            </w:r>
          </w:p>
          <w:p w14:paraId="3D3932C4" w14:textId="77777777" w:rsidR="00994CC2" w:rsidRPr="00994CC2" w:rsidRDefault="00994CC2" w:rsidP="00994CC2">
            <w:pPr>
              <w:widowControl w:val="0"/>
              <w:tabs>
                <w:tab w:val="left" w:pos="90"/>
                <w:tab w:val="left" w:pos="1868"/>
                <w:tab w:val="right" w:pos="10648"/>
              </w:tabs>
              <w:spacing w:after="0"/>
            </w:pPr>
            <w:r w:rsidRPr="00994CC2">
              <w:t xml:space="preserve">RAN chair: majority seems to be that 30kHz should not be considered; there is no change compared to the </w:t>
            </w:r>
          </w:p>
          <w:p w14:paraId="565D4C43" w14:textId="77777777" w:rsidR="00994CC2" w:rsidRPr="00994CC2" w:rsidRDefault="00994CC2" w:rsidP="00994CC2">
            <w:pPr>
              <w:widowControl w:val="0"/>
              <w:tabs>
                <w:tab w:val="left" w:pos="90"/>
                <w:tab w:val="left" w:pos="1868"/>
                <w:tab w:val="right" w:pos="10648"/>
              </w:tabs>
              <w:spacing w:after="0"/>
            </w:pPr>
            <w:r w:rsidRPr="00994CC2">
              <w:t>discussions in Beijing;</w:t>
            </w:r>
          </w:p>
          <w:p w14:paraId="544395FB" w14:textId="77777777" w:rsidR="00994CC2" w:rsidRPr="00994CC2" w:rsidRDefault="00994CC2" w:rsidP="00994CC2">
            <w:pPr>
              <w:widowControl w:val="0"/>
              <w:tabs>
                <w:tab w:val="left" w:pos="90"/>
                <w:tab w:val="left" w:pos="1868"/>
                <w:tab w:val="right" w:pos="10648"/>
              </w:tabs>
              <w:spacing w:after="0"/>
            </w:pPr>
            <w:r w:rsidRPr="00994CC2">
              <w:t>RAN chair: proposed "SCS of 30kHz for mid-band (1-</w:t>
            </w:r>
            <w:proofErr w:type="gramStart"/>
            <w:r w:rsidRPr="00994CC2">
              <w:t>2.xGHz</w:t>
            </w:r>
            <w:proofErr w:type="gramEnd"/>
            <w:r w:rsidRPr="00994CC2">
              <w:t>) is not supported in 6G"</w:t>
            </w:r>
          </w:p>
          <w:p w14:paraId="3FDDB0C0" w14:textId="77777777" w:rsidR="00994CC2" w:rsidRPr="00994CC2" w:rsidRDefault="00994CC2" w:rsidP="00994CC2">
            <w:pPr>
              <w:widowControl w:val="0"/>
              <w:tabs>
                <w:tab w:val="left" w:pos="90"/>
                <w:tab w:val="left" w:pos="1868"/>
                <w:tab w:val="right" w:pos="10648"/>
              </w:tabs>
              <w:spacing w:after="0"/>
            </w:pPr>
            <w:r w:rsidRPr="00994CC2">
              <w:t>Qualcomm: would rather wait until March 26</w:t>
            </w:r>
          </w:p>
          <w:p w14:paraId="36D2852D" w14:textId="77777777" w:rsidR="00994CC2" w:rsidRPr="00994CC2" w:rsidRDefault="00994CC2" w:rsidP="00994CC2">
            <w:pPr>
              <w:widowControl w:val="0"/>
              <w:tabs>
                <w:tab w:val="left" w:pos="90"/>
                <w:tab w:val="left" w:pos="1868"/>
                <w:tab w:val="right" w:pos="10648"/>
              </w:tabs>
              <w:spacing w:after="0"/>
            </w:pPr>
            <w:r w:rsidRPr="00994CC2">
              <w:t xml:space="preserve">RAN chair: we discussed it already and not clear what would come out of further study so prefers to take a decision </w:t>
            </w:r>
          </w:p>
          <w:p w14:paraId="454BD781" w14:textId="77777777" w:rsidR="00994CC2" w:rsidRPr="00994CC2" w:rsidRDefault="00994CC2" w:rsidP="00994CC2">
            <w:pPr>
              <w:widowControl w:val="0"/>
              <w:tabs>
                <w:tab w:val="left" w:pos="90"/>
                <w:tab w:val="left" w:pos="1868"/>
                <w:tab w:val="right" w:pos="10648"/>
              </w:tabs>
              <w:spacing w:after="0"/>
            </w:pPr>
            <w:r w:rsidRPr="00994CC2">
              <w:t>here</w:t>
            </w:r>
          </w:p>
          <w:p w14:paraId="099746A2" w14:textId="77777777" w:rsidR="00994CC2" w:rsidRPr="00994CC2" w:rsidRDefault="00994CC2" w:rsidP="00994CC2">
            <w:pPr>
              <w:widowControl w:val="0"/>
              <w:tabs>
                <w:tab w:val="left" w:pos="90"/>
                <w:tab w:val="left" w:pos="1868"/>
                <w:tab w:val="right" w:pos="10648"/>
              </w:tabs>
              <w:spacing w:after="0"/>
            </w:pPr>
            <w:r w:rsidRPr="00994CC2">
              <w:t>Nokia: have it for FDD only please as this is what is discussed here</w:t>
            </w:r>
          </w:p>
          <w:p w14:paraId="0B7D755E" w14:textId="77777777" w:rsidR="00994CC2" w:rsidRPr="00994CC2" w:rsidRDefault="00994CC2" w:rsidP="00994CC2">
            <w:pPr>
              <w:widowControl w:val="0"/>
              <w:tabs>
                <w:tab w:val="left" w:pos="90"/>
                <w:tab w:val="left" w:pos="1868"/>
                <w:tab w:val="right" w:pos="10648"/>
              </w:tabs>
              <w:spacing w:after="0"/>
            </w:pPr>
            <w:r w:rsidRPr="00994CC2">
              <w:t xml:space="preserve">Panasonic: FDD/TDD commonality should be kept </w:t>
            </w:r>
          </w:p>
          <w:p w14:paraId="52014CCC" w14:textId="670C59AF" w:rsidR="00994CC2" w:rsidRPr="00994CC2" w:rsidRDefault="00994CC2" w:rsidP="00994CC2">
            <w:pPr>
              <w:snapToGrid w:val="0"/>
              <w:rPr>
                <w:szCs w:val="21"/>
              </w:rPr>
            </w:pPr>
            <w:r w:rsidRPr="00994CC2">
              <w:rPr>
                <w:highlight w:val="green"/>
              </w:rPr>
              <w:t>conclusion: agreed: SCS of 30kHz for mid-band (1-</w:t>
            </w:r>
            <w:proofErr w:type="gramStart"/>
            <w:r w:rsidRPr="00994CC2">
              <w:rPr>
                <w:highlight w:val="green"/>
              </w:rPr>
              <w:t>2.xGHz</w:t>
            </w:r>
            <w:proofErr w:type="gramEnd"/>
            <w:r w:rsidRPr="00994CC2">
              <w:rPr>
                <w:highlight w:val="green"/>
              </w:rPr>
              <w:t>) FDD is not supported in 6G</w:t>
            </w:r>
          </w:p>
        </w:tc>
      </w:tr>
    </w:tbl>
    <w:p w14:paraId="1CE74C4D" w14:textId="29939E4F" w:rsidR="009A2C11" w:rsidRPr="009A2C11" w:rsidRDefault="009B086F" w:rsidP="009A2C11">
      <w:pPr>
        <w:snapToGrid w:val="0"/>
        <w:spacing w:beforeLines="50" w:before="120"/>
        <w:jc w:val="both"/>
        <w:rPr>
          <w:szCs w:val="21"/>
          <w:lang w:val="x-none"/>
        </w:rPr>
      </w:pPr>
      <w:r w:rsidRPr="009B086F">
        <w:rPr>
          <w:szCs w:val="21"/>
          <w:lang w:val="x-none"/>
        </w:rPr>
        <w:t xml:space="preserve">Building on the 5G experience, a single numerology for sub-6 GHz and FR2 can sufficiently address the majority of deployment scenarios. Adopting a unified numerology helps simplify implementation for both UE and network sides, making it a suitable starting point for 6G studies. The trade-offs involving the combination of FFT size, channel bandwidth, and subcarrier spacing can be discussed under the topic of max </w:t>
      </w:r>
      <w:r>
        <w:rPr>
          <w:szCs w:val="21"/>
          <w:lang w:val="x-none"/>
        </w:rPr>
        <w:t xml:space="preserve">channel </w:t>
      </w:r>
      <w:r w:rsidRPr="009B086F">
        <w:rPr>
          <w:szCs w:val="21"/>
          <w:lang w:val="x-none"/>
        </w:rPr>
        <w:t xml:space="preserve">bandwidth. In the RAN4 study, the focus should be placed on the numerology for the SSB in the initial cell search procedure. </w:t>
      </w:r>
    </w:p>
    <w:p w14:paraId="2770482C" w14:textId="77777777" w:rsidR="00CE60EA" w:rsidRDefault="00CE60EA" w:rsidP="00CE60EA">
      <w:pPr>
        <w:pStyle w:val="af6"/>
        <w:spacing w:after="0"/>
        <w:jc w:val="both"/>
        <w:rPr>
          <w:b/>
          <w:bCs/>
          <w:i/>
          <w:iCs/>
          <w:lang w:val="en-US"/>
        </w:rPr>
      </w:pPr>
      <w:r w:rsidRPr="00302EFF">
        <w:rPr>
          <w:b/>
          <w:bCs/>
          <w:i/>
          <w:iCs/>
          <w:lang w:val="en-US"/>
        </w:rPr>
        <w:t>Proposal</w:t>
      </w:r>
      <w:r>
        <w:rPr>
          <w:b/>
          <w:bCs/>
          <w:i/>
          <w:iCs/>
          <w:lang w:val="en-US"/>
        </w:rPr>
        <w:t xml:space="preserve"> 3-1</w:t>
      </w:r>
      <w:r w:rsidRPr="00302EFF">
        <w:rPr>
          <w:b/>
          <w:bCs/>
          <w:i/>
          <w:iCs/>
          <w:lang w:val="en-US"/>
        </w:rPr>
        <w:t xml:space="preserve">: </w:t>
      </w:r>
      <w:r w:rsidRPr="00FE7646">
        <w:rPr>
          <w:b/>
          <w:bCs/>
          <w:i/>
          <w:iCs/>
          <w:lang w:val="en-US"/>
        </w:rPr>
        <w:t>Single numerology</w:t>
      </w:r>
      <w:r>
        <w:rPr>
          <w:b/>
          <w:bCs/>
          <w:i/>
          <w:iCs/>
          <w:lang w:val="en-US"/>
        </w:rPr>
        <w:t xml:space="preserve"> is considered </w:t>
      </w:r>
      <w:r w:rsidRPr="00DB20B9">
        <w:rPr>
          <w:b/>
          <w:bCs/>
          <w:i/>
          <w:iCs/>
          <w:strike/>
          <w:lang w:val="en-US"/>
        </w:rPr>
        <w:t>as starting poin</w:t>
      </w:r>
      <w:r>
        <w:rPr>
          <w:b/>
          <w:bCs/>
          <w:i/>
          <w:iCs/>
          <w:lang w:val="en-US"/>
        </w:rPr>
        <w:t>t for 6G</w:t>
      </w:r>
      <w:r w:rsidRPr="003D3002">
        <w:rPr>
          <w:b/>
          <w:bCs/>
          <w:i/>
          <w:iCs/>
          <w:lang w:val="en-US"/>
        </w:rPr>
        <w:t>.</w:t>
      </w:r>
    </w:p>
    <w:p w14:paraId="198D99E7" w14:textId="77777777" w:rsidR="00CE60EA" w:rsidRDefault="00CE60EA" w:rsidP="00CE60EA">
      <w:pPr>
        <w:pStyle w:val="af6"/>
        <w:numPr>
          <w:ilvl w:val="0"/>
          <w:numId w:val="26"/>
        </w:numPr>
        <w:spacing w:after="0"/>
        <w:jc w:val="both"/>
        <w:rPr>
          <w:b/>
          <w:bCs/>
          <w:i/>
          <w:iCs/>
          <w:lang w:val="en-US"/>
        </w:rPr>
      </w:pPr>
      <w:r>
        <w:rPr>
          <w:rFonts w:hint="eastAsia"/>
          <w:b/>
          <w:bCs/>
          <w:i/>
          <w:iCs/>
          <w:lang w:val="en-US"/>
        </w:rPr>
        <w:t>S</w:t>
      </w:r>
      <w:r>
        <w:rPr>
          <w:b/>
          <w:bCs/>
          <w:i/>
          <w:iCs/>
          <w:lang w:val="en-US"/>
        </w:rPr>
        <w:t>ingle SCS for each band</w:t>
      </w:r>
    </w:p>
    <w:p w14:paraId="6855E531" w14:textId="77777777" w:rsidR="00CE60EA" w:rsidRDefault="00CE60EA" w:rsidP="00CE60EA">
      <w:pPr>
        <w:pStyle w:val="af6"/>
        <w:numPr>
          <w:ilvl w:val="1"/>
          <w:numId w:val="26"/>
        </w:numPr>
        <w:spacing w:after="0"/>
        <w:jc w:val="both"/>
        <w:rPr>
          <w:b/>
          <w:bCs/>
          <w:i/>
          <w:iCs/>
          <w:lang w:val="en-US"/>
        </w:rPr>
      </w:pPr>
      <w:r>
        <w:rPr>
          <w:rFonts w:hint="eastAsia"/>
          <w:b/>
          <w:bCs/>
          <w:i/>
          <w:iCs/>
          <w:lang w:val="en-US"/>
        </w:rPr>
        <w:t>1</w:t>
      </w:r>
      <w:r>
        <w:rPr>
          <w:b/>
          <w:bCs/>
          <w:i/>
          <w:iCs/>
          <w:lang w:val="en-US"/>
        </w:rPr>
        <w:t>5kHz for FDD bands</w:t>
      </w:r>
    </w:p>
    <w:p w14:paraId="4246846F" w14:textId="77777777" w:rsidR="00CE60EA" w:rsidRDefault="00CE60EA" w:rsidP="00CE60EA">
      <w:pPr>
        <w:pStyle w:val="af6"/>
        <w:numPr>
          <w:ilvl w:val="1"/>
          <w:numId w:val="26"/>
        </w:numPr>
        <w:spacing w:after="0"/>
        <w:jc w:val="both"/>
        <w:rPr>
          <w:b/>
          <w:bCs/>
          <w:i/>
          <w:iCs/>
          <w:lang w:val="en-US"/>
        </w:rPr>
      </w:pPr>
      <w:r>
        <w:rPr>
          <w:rFonts w:hint="eastAsia"/>
          <w:b/>
          <w:bCs/>
          <w:i/>
          <w:iCs/>
          <w:lang w:val="en-US"/>
        </w:rPr>
        <w:t>3</w:t>
      </w:r>
      <w:r>
        <w:rPr>
          <w:b/>
          <w:bCs/>
          <w:i/>
          <w:iCs/>
          <w:lang w:val="en-US"/>
        </w:rPr>
        <w:t>0kHz for TDD bands</w:t>
      </w:r>
    </w:p>
    <w:p w14:paraId="265364ED" w14:textId="77777777" w:rsidR="00CE60EA" w:rsidRPr="00EC6F3A" w:rsidRDefault="00CE60EA" w:rsidP="00CE60EA">
      <w:pPr>
        <w:pStyle w:val="af6"/>
        <w:numPr>
          <w:ilvl w:val="0"/>
          <w:numId w:val="26"/>
        </w:numPr>
        <w:jc w:val="both"/>
        <w:rPr>
          <w:b/>
          <w:bCs/>
          <w:i/>
          <w:iCs/>
          <w:lang w:val="en-US"/>
        </w:rPr>
      </w:pPr>
      <w:r>
        <w:rPr>
          <w:rFonts w:hint="eastAsia"/>
          <w:b/>
          <w:bCs/>
          <w:i/>
          <w:iCs/>
          <w:lang w:val="en-US"/>
        </w:rPr>
        <w:t>S</w:t>
      </w:r>
      <w:r>
        <w:rPr>
          <w:b/>
          <w:bCs/>
          <w:i/>
          <w:iCs/>
          <w:lang w:val="en-US"/>
        </w:rPr>
        <w:t>ingle SCS for both data and SSB</w:t>
      </w:r>
    </w:p>
    <w:p w14:paraId="4F13A652" w14:textId="266ADB12" w:rsidR="001A6230" w:rsidRPr="003C5AD9" w:rsidRDefault="001A6230" w:rsidP="003C5AD9">
      <w:pPr>
        <w:pStyle w:val="3"/>
      </w:pPr>
      <w:r w:rsidRPr="003C5AD9">
        <w:rPr>
          <w:rFonts w:hint="eastAsia"/>
        </w:rPr>
        <w:t>S</w:t>
      </w:r>
      <w:r w:rsidRPr="003C5AD9">
        <w:t>pectrum utilization</w:t>
      </w:r>
    </w:p>
    <w:p w14:paraId="2EA5B44D" w14:textId="6B50D621" w:rsidR="00302EFF" w:rsidRPr="00302EFF" w:rsidRDefault="002A646C" w:rsidP="00302EFF">
      <w:pPr>
        <w:jc w:val="both"/>
        <w:rPr>
          <w:lang w:val="en-US"/>
        </w:rPr>
      </w:pPr>
      <w:r w:rsidRPr="005C5502">
        <w:rPr>
          <w:lang w:val="en-US"/>
        </w:rPr>
        <w:t>RAN4 agreement on</w:t>
      </w:r>
      <w:r>
        <w:rPr>
          <w:lang w:val="en-US"/>
        </w:rPr>
        <w:t xml:space="preserve"> spectrum utilization</w:t>
      </w:r>
      <w:r w:rsidRPr="005C5502">
        <w:rPr>
          <w:lang w:val="en-US"/>
        </w:rPr>
        <w:t xml:space="preserve"> is excerpted as below</w:t>
      </w:r>
      <w:r w:rsidR="00302EFF" w:rsidRPr="00302EFF">
        <w:rPr>
          <w:lang w:val="en-US"/>
        </w:rPr>
        <w:t>.</w:t>
      </w:r>
    </w:p>
    <w:tbl>
      <w:tblPr>
        <w:tblStyle w:val="aff"/>
        <w:tblW w:w="0" w:type="auto"/>
        <w:tblLook w:val="04A0" w:firstRow="1" w:lastRow="0" w:firstColumn="1" w:lastColumn="0" w:noHBand="0" w:noVBand="1"/>
      </w:tblPr>
      <w:tblGrid>
        <w:gridCol w:w="9631"/>
      </w:tblGrid>
      <w:tr w:rsidR="00E350A5" w14:paraId="2EB376F2" w14:textId="77777777" w:rsidTr="00E350A5">
        <w:tc>
          <w:tcPr>
            <w:tcW w:w="9631" w:type="dxa"/>
          </w:tcPr>
          <w:p w14:paraId="2F25F9A7" w14:textId="77777777" w:rsidR="00E350A5" w:rsidRPr="00E350A5" w:rsidRDefault="00E350A5" w:rsidP="00E350A5">
            <w:pPr>
              <w:overflowPunct/>
              <w:autoSpaceDE/>
              <w:autoSpaceDN/>
              <w:adjustRightInd/>
              <w:spacing w:after="0"/>
              <w:textAlignment w:val="auto"/>
              <w:rPr>
                <w:szCs w:val="24"/>
                <w:highlight w:val="green"/>
              </w:rPr>
            </w:pPr>
            <w:r w:rsidRPr="00E350A5">
              <w:rPr>
                <w:szCs w:val="24"/>
                <w:highlight w:val="green"/>
              </w:rPr>
              <w:t>Agreement</w:t>
            </w:r>
          </w:p>
          <w:p w14:paraId="5EE7502F" w14:textId="77777777" w:rsidR="00E350A5" w:rsidRPr="00E350A5" w:rsidRDefault="00E350A5" w:rsidP="00E350A5">
            <w:pPr>
              <w:numPr>
                <w:ilvl w:val="0"/>
                <w:numId w:val="18"/>
              </w:numPr>
              <w:overflowPunct/>
              <w:autoSpaceDE/>
              <w:autoSpaceDN/>
              <w:adjustRightInd/>
              <w:spacing w:after="0"/>
              <w:jc w:val="both"/>
              <w:textAlignment w:val="auto"/>
              <w:rPr>
                <w:szCs w:val="24"/>
              </w:rPr>
            </w:pPr>
            <w:r w:rsidRPr="00E350A5">
              <w:rPr>
                <w:szCs w:val="24"/>
              </w:rPr>
              <w:t>Agree on a set of common simulation assumptions for SU evaluation, including PA models, RF impairments (e.g., carrier leakage, I/Q imbalance, phase noise, etc.), and baseline RF requirements (e.g., SEM, ACLR, EVM).</w:t>
            </w:r>
          </w:p>
          <w:p w14:paraId="6AFC1714" w14:textId="77777777" w:rsidR="00E350A5" w:rsidRPr="00E350A5" w:rsidRDefault="00E350A5" w:rsidP="00E350A5">
            <w:pPr>
              <w:numPr>
                <w:ilvl w:val="1"/>
                <w:numId w:val="18"/>
              </w:numPr>
              <w:overflowPunct/>
              <w:autoSpaceDE/>
              <w:autoSpaceDN/>
              <w:adjustRightInd/>
              <w:spacing w:after="0"/>
              <w:jc w:val="both"/>
              <w:textAlignment w:val="auto"/>
              <w:rPr>
                <w:szCs w:val="24"/>
              </w:rPr>
            </w:pPr>
            <w:r w:rsidRPr="00E350A5">
              <w:rPr>
                <w:szCs w:val="24"/>
              </w:rPr>
              <w:t>5G NR channel bandwidth, requirements can be considered as starting point for the SU evaluation with new assumptions for 6G</w:t>
            </w:r>
          </w:p>
          <w:p w14:paraId="640E4BB5" w14:textId="77777777" w:rsidR="00E350A5" w:rsidRPr="00E350A5" w:rsidRDefault="00E350A5" w:rsidP="00E350A5">
            <w:pPr>
              <w:numPr>
                <w:ilvl w:val="0"/>
                <w:numId w:val="18"/>
              </w:numPr>
              <w:overflowPunct/>
              <w:autoSpaceDE/>
              <w:autoSpaceDN/>
              <w:adjustRightInd/>
              <w:spacing w:after="0"/>
              <w:jc w:val="both"/>
              <w:textAlignment w:val="auto"/>
              <w:rPr>
                <w:szCs w:val="24"/>
              </w:rPr>
            </w:pPr>
            <w:r w:rsidRPr="00E350A5">
              <w:rPr>
                <w:szCs w:val="24"/>
              </w:rPr>
              <w:t>Evaluate the RF performance impact (complying with the affected requirements) of advanced spectral confinement techniques (e.g., better filtering, windowing) to understand how many RBs can be enabled</w:t>
            </w:r>
          </w:p>
          <w:p w14:paraId="137B38E5" w14:textId="77777777" w:rsidR="00E350A5" w:rsidRPr="00E350A5" w:rsidRDefault="00E350A5" w:rsidP="00E350A5">
            <w:pPr>
              <w:numPr>
                <w:ilvl w:val="1"/>
                <w:numId w:val="18"/>
              </w:numPr>
              <w:overflowPunct/>
              <w:autoSpaceDE/>
              <w:autoSpaceDN/>
              <w:adjustRightInd/>
              <w:spacing w:after="0"/>
              <w:jc w:val="both"/>
              <w:textAlignment w:val="auto"/>
              <w:rPr>
                <w:szCs w:val="24"/>
              </w:rPr>
            </w:pPr>
            <w:r w:rsidRPr="00E350A5">
              <w:rPr>
                <w:szCs w:val="24"/>
              </w:rPr>
              <w:t>Considering trade-offs between SU, RF performance, and UE/BS complexity</w:t>
            </w:r>
          </w:p>
          <w:p w14:paraId="7942705F" w14:textId="77777777" w:rsidR="00E350A5" w:rsidRPr="00E350A5" w:rsidRDefault="00E350A5" w:rsidP="00E350A5">
            <w:pPr>
              <w:numPr>
                <w:ilvl w:val="1"/>
                <w:numId w:val="18"/>
              </w:numPr>
              <w:overflowPunct/>
              <w:autoSpaceDE/>
              <w:autoSpaceDN/>
              <w:adjustRightInd/>
              <w:spacing w:after="0"/>
              <w:jc w:val="both"/>
              <w:textAlignment w:val="auto"/>
              <w:rPr>
                <w:szCs w:val="24"/>
              </w:rPr>
            </w:pPr>
            <w:r w:rsidRPr="00E350A5">
              <w:rPr>
                <w:rFonts w:hint="eastAsia"/>
                <w:szCs w:val="24"/>
              </w:rPr>
              <w:t>C</w:t>
            </w:r>
            <w:r w:rsidRPr="00E350A5">
              <w:rPr>
                <w:szCs w:val="24"/>
              </w:rPr>
              <w:t>hannel bandwidth and SCS with smaller SU should be prioritized</w:t>
            </w:r>
          </w:p>
          <w:p w14:paraId="04DDDBC9" w14:textId="77777777" w:rsidR="00E350A5" w:rsidRPr="00E350A5" w:rsidRDefault="00E350A5" w:rsidP="00E350A5">
            <w:pPr>
              <w:numPr>
                <w:ilvl w:val="1"/>
                <w:numId w:val="18"/>
              </w:numPr>
              <w:overflowPunct/>
              <w:autoSpaceDE/>
              <w:autoSpaceDN/>
              <w:adjustRightInd/>
              <w:spacing w:after="0"/>
              <w:jc w:val="both"/>
              <w:textAlignment w:val="auto"/>
              <w:rPr>
                <w:szCs w:val="24"/>
              </w:rPr>
            </w:pPr>
            <w:r w:rsidRPr="00E350A5">
              <w:rPr>
                <w:szCs w:val="24"/>
              </w:rPr>
              <w:t>SU for larger channel bandwidth shall be evaluated based on progress on CBW</w:t>
            </w:r>
          </w:p>
          <w:p w14:paraId="3D84E78A" w14:textId="296CEF83" w:rsidR="00E350A5" w:rsidRPr="00E350A5" w:rsidRDefault="00E350A5" w:rsidP="00E350A5">
            <w:pPr>
              <w:numPr>
                <w:ilvl w:val="1"/>
                <w:numId w:val="18"/>
              </w:numPr>
              <w:overflowPunct/>
              <w:autoSpaceDE/>
              <w:autoSpaceDN/>
              <w:adjustRightInd/>
              <w:spacing w:after="0"/>
              <w:jc w:val="both"/>
              <w:textAlignment w:val="auto"/>
              <w:rPr>
                <w:szCs w:val="24"/>
              </w:rPr>
            </w:pPr>
            <w:r w:rsidRPr="00E350A5">
              <w:rPr>
                <w:szCs w:val="24"/>
              </w:rPr>
              <w:t>Closely coordinate with RAN1 on different waveform candidates and SCS configurations.</w:t>
            </w:r>
          </w:p>
        </w:tc>
      </w:tr>
    </w:tbl>
    <w:p w14:paraId="4DEC7819" w14:textId="1B8D21B4" w:rsidR="00302EFF" w:rsidRPr="00302EFF" w:rsidRDefault="00302EFF" w:rsidP="002752CB">
      <w:pPr>
        <w:spacing w:beforeLines="100" w:before="240"/>
        <w:jc w:val="both"/>
        <w:rPr>
          <w:lang w:val="en-US"/>
        </w:rPr>
      </w:pPr>
      <w:r>
        <w:rPr>
          <w:rFonts w:hint="eastAsia"/>
          <w:lang w:val="en-US"/>
        </w:rPr>
        <w:t>T</w:t>
      </w:r>
      <w:r>
        <w:rPr>
          <w:lang w:val="en-US"/>
        </w:rPr>
        <w:t>able below listed the SU for all supported NR channel bandwidths.</w:t>
      </w:r>
    </w:p>
    <w:p w14:paraId="76389D55" w14:textId="0157107B" w:rsidR="00564BD3" w:rsidRPr="00564BD3" w:rsidRDefault="00564BD3" w:rsidP="00564BD3">
      <w:pPr>
        <w:jc w:val="center"/>
        <w:rPr>
          <w:rFonts w:ascii="Arial" w:hAnsi="Arial" w:cs="Arial"/>
          <w:b/>
          <w:bCs/>
          <w:lang w:val="en-US"/>
        </w:rPr>
      </w:pPr>
      <w:r w:rsidRPr="00564BD3">
        <w:rPr>
          <w:rFonts w:ascii="Arial" w:eastAsia="等线" w:hAnsi="Arial" w:cs="Arial"/>
          <w:b/>
          <w:bCs/>
          <w:lang w:eastAsia="en-US"/>
        </w:rPr>
        <w:t>Table 1: Maximum transmission bandwidth configuration N</w:t>
      </w:r>
      <w:r w:rsidRPr="00564BD3">
        <w:rPr>
          <w:rFonts w:ascii="Arial" w:eastAsia="等线" w:hAnsi="Arial" w:cs="Arial"/>
          <w:b/>
          <w:bCs/>
          <w:vertAlign w:val="subscript"/>
          <w:lang w:eastAsia="en-US"/>
        </w:rPr>
        <w:t>RB</w:t>
      </w:r>
      <w:r>
        <w:rPr>
          <w:rFonts w:ascii="Arial" w:eastAsia="等线" w:hAnsi="Arial" w:cs="Arial"/>
          <w:b/>
          <w:bCs/>
          <w:lang w:eastAsia="en-US"/>
        </w:rPr>
        <w:t xml:space="preserve"> and SU ratio</w:t>
      </w:r>
    </w:p>
    <w:tbl>
      <w:tblPr>
        <w:tblW w:w="5000" w:type="pct"/>
        <w:jc w:val="center"/>
        <w:tblLook w:val="04A0" w:firstRow="1" w:lastRow="0" w:firstColumn="1" w:lastColumn="0" w:noHBand="0" w:noVBand="1"/>
      </w:tblPr>
      <w:tblGrid>
        <w:gridCol w:w="1034"/>
        <w:gridCol w:w="445"/>
        <w:gridCol w:w="624"/>
        <w:gridCol w:w="445"/>
        <w:gridCol w:w="625"/>
        <w:gridCol w:w="445"/>
        <w:gridCol w:w="625"/>
        <w:gridCol w:w="445"/>
        <w:gridCol w:w="625"/>
        <w:gridCol w:w="445"/>
        <w:gridCol w:w="625"/>
        <w:gridCol w:w="445"/>
        <w:gridCol w:w="625"/>
        <w:gridCol w:w="445"/>
        <w:gridCol w:w="639"/>
        <w:gridCol w:w="445"/>
        <w:gridCol w:w="639"/>
      </w:tblGrid>
      <w:tr w:rsidR="00563525" w:rsidRPr="00563525" w14:paraId="2B83411E" w14:textId="77777777" w:rsidTr="00FF2017">
        <w:trPr>
          <w:trHeight w:val="38"/>
          <w:jc w:val="center"/>
        </w:trPr>
        <w:tc>
          <w:tcPr>
            <w:tcW w:w="553" w:type="pct"/>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200A277A" w14:textId="156EF9AA"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SCS </w:t>
            </w:r>
            <w:r w:rsidR="00C52163">
              <w:rPr>
                <w:rFonts w:ascii="Calibri" w:hAnsi="Calibri" w:cs="Calibri"/>
                <w:b/>
                <w:bCs/>
                <w:color w:val="000000"/>
                <w:sz w:val="15"/>
                <w:szCs w:val="15"/>
                <w:lang w:val="en-US"/>
              </w:rPr>
              <w:t>(</w:t>
            </w:r>
            <w:r w:rsidRPr="00563525">
              <w:rPr>
                <w:rFonts w:ascii="Calibri" w:hAnsi="Calibri" w:cs="Calibri"/>
                <w:b/>
                <w:bCs/>
                <w:color w:val="000000"/>
                <w:sz w:val="15"/>
                <w:szCs w:val="15"/>
                <w:lang w:val="en-US"/>
              </w:rPr>
              <w:t>kH</w:t>
            </w:r>
            <w:r w:rsidR="00C52163">
              <w:rPr>
                <w:rFonts w:ascii="Calibri" w:hAnsi="Calibri" w:cs="Calibri"/>
                <w:b/>
                <w:bCs/>
                <w:color w:val="000000"/>
                <w:sz w:val="15"/>
                <w:szCs w:val="15"/>
                <w:lang w:val="en-US"/>
              </w:rPr>
              <w:t>z)</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409934BC"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3</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5088D9BA"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5</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2D158EB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10</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2F10A34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15</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2C5589E1"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20</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68974C7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25</w:t>
            </w:r>
          </w:p>
        </w:tc>
        <w:tc>
          <w:tcPr>
            <w:tcW w:w="564"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0F5D2EE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30</w:t>
            </w:r>
          </w:p>
        </w:tc>
        <w:tc>
          <w:tcPr>
            <w:tcW w:w="564" w:type="pct"/>
            <w:gridSpan w:val="2"/>
            <w:tcBorders>
              <w:top w:val="single" w:sz="8" w:space="0" w:color="auto"/>
              <w:left w:val="nil"/>
              <w:bottom w:val="single" w:sz="4" w:space="0" w:color="auto"/>
              <w:right w:val="single" w:sz="8" w:space="0" w:color="000000"/>
            </w:tcBorders>
            <w:shd w:val="clear" w:color="000000" w:fill="FFFFFF"/>
            <w:noWrap/>
            <w:vAlign w:val="center"/>
            <w:hideMark/>
          </w:tcPr>
          <w:p w14:paraId="04DCF3D7"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sz w:val="15"/>
                <w:szCs w:val="15"/>
                <w:lang w:val="en-US"/>
              </w:rPr>
            </w:pPr>
            <w:r w:rsidRPr="00563525">
              <w:rPr>
                <w:rFonts w:ascii="Calibri" w:hAnsi="Calibri" w:cs="Calibri"/>
                <w:b/>
                <w:bCs/>
                <w:sz w:val="15"/>
                <w:szCs w:val="15"/>
                <w:lang w:val="en-US"/>
              </w:rPr>
              <w:t>35</w:t>
            </w:r>
          </w:p>
        </w:tc>
      </w:tr>
      <w:tr w:rsidR="00563525" w:rsidRPr="00563525" w14:paraId="6E89989F" w14:textId="77777777" w:rsidTr="00FF2017">
        <w:trPr>
          <w:trHeight w:val="57"/>
          <w:jc w:val="center"/>
        </w:trPr>
        <w:tc>
          <w:tcPr>
            <w:tcW w:w="553" w:type="pct"/>
            <w:vMerge/>
            <w:tcBorders>
              <w:top w:val="single" w:sz="8" w:space="0" w:color="auto"/>
              <w:left w:val="single" w:sz="8" w:space="0" w:color="auto"/>
              <w:bottom w:val="single" w:sz="4" w:space="0" w:color="auto"/>
              <w:right w:val="single" w:sz="4" w:space="0" w:color="auto"/>
            </w:tcBorders>
            <w:vAlign w:val="center"/>
            <w:hideMark/>
          </w:tcPr>
          <w:p w14:paraId="6565F6B6" w14:textId="77777777" w:rsidR="00563525" w:rsidRPr="00563525" w:rsidRDefault="00563525" w:rsidP="00563525">
            <w:pPr>
              <w:overflowPunct/>
              <w:autoSpaceDE/>
              <w:autoSpaceDN/>
              <w:adjustRightInd/>
              <w:snapToGrid w:val="0"/>
              <w:spacing w:after="0"/>
              <w:textAlignment w:val="auto"/>
              <w:rPr>
                <w:rFonts w:ascii="Calibri" w:hAnsi="Calibri" w:cs="Calibri"/>
                <w:b/>
                <w:bCs/>
                <w:color w:val="000000"/>
                <w:sz w:val="15"/>
                <w:szCs w:val="15"/>
                <w:lang w:val="en-US"/>
              </w:rPr>
            </w:pPr>
          </w:p>
        </w:tc>
        <w:tc>
          <w:tcPr>
            <w:tcW w:w="213" w:type="pct"/>
            <w:tcBorders>
              <w:top w:val="nil"/>
              <w:left w:val="nil"/>
              <w:bottom w:val="single" w:sz="4" w:space="0" w:color="auto"/>
              <w:right w:val="single" w:sz="4" w:space="0" w:color="auto"/>
            </w:tcBorders>
            <w:shd w:val="clear" w:color="000000" w:fill="FFFFFF"/>
            <w:noWrap/>
            <w:vAlign w:val="center"/>
            <w:hideMark/>
          </w:tcPr>
          <w:p w14:paraId="13B683A7"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5BE567D8" w14:textId="52C2C6CF"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0ACDC2EE"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12BBE8CC" w14:textId="7E33CA4D"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4DDEA6C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71B059B5" w14:textId="20340CDF"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156E70EA"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48EE73BC" w14:textId="01BC8928"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7EDACC02"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2AD16B54" w14:textId="7D8CEC98"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3F0F4012"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4719C21D" w14:textId="78429B15"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7" w:type="pct"/>
            <w:tcBorders>
              <w:top w:val="nil"/>
              <w:left w:val="nil"/>
              <w:bottom w:val="single" w:sz="4" w:space="0" w:color="auto"/>
              <w:right w:val="single" w:sz="4" w:space="0" w:color="auto"/>
            </w:tcBorders>
            <w:shd w:val="clear" w:color="000000" w:fill="FFFFFF"/>
            <w:noWrap/>
            <w:vAlign w:val="center"/>
            <w:hideMark/>
          </w:tcPr>
          <w:p w14:paraId="4238A8A1"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6" w:type="pct"/>
            <w:tcBorders>
              <w:top w:val="nil"/>
              <w:left w:val="nil"/>
              <w:bottom w:val="single" w:sz="4" w:space="0" w:color="auto"/>
              <w:right w:val="single" w:sz="4" w:space="0" w:color="auto"/>
            </w:tcBorders>
            <w:shd w:val="clear" w:color="000000" w:fill="FFFFFF"/>
            <w:noWrap/>
            <w:vAlign w:val="center"/>
            <w:hideMark/>
          </w:tcPr>
          <w:p w14:paraId="12A9F704" w14:textId="11D011E3"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7" w:type="pct"/>
            <w:tcBorders>
              <w:top w:val="nil"/>
              <w:left w:val="nil"/>
              <w:bottom w:val="single" w:sz="4" w:space="0" w:color="auto"/>
              <w:right w:val="single" w:sz="4" w:space="0" w:color="auto"/>
            </w:tcBorders>
            <w:shd w:val="clear" w:color="000000" w:fill="FFFFFF"/>
            <w:noWrap/>
            <w:vAlign w:val="center"/>
            <w:hideMark/>
          </w:tcPr>
          <w:p w14:paraId="1D7615B8"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6" w:type="pct"/>
            <w:tcBorders>
              <w:top w:val="nil"/>
              <w:left w:val="nil"/>
              <w:bottom w:val="single" w:sz="4" w:space="0" w:color="auto"/>
              <w:right w:val="single" w:sz="8" w:space="0" w:color="auto"/>
            </w:tcBorders>
            <w:shd w:val="clear" w:color="000000" w:fill="FFFFFF"/>
            <w:noWrap/>
            <w:vAlign w:val="center"/>
            <w:hideMark/>
          </w:tcPr>
          <w:p w14:paraId="562BEF56" w14:textId="33715563"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r>
      <w:tr w:rsidR="00563525" w:rsidRPr="00563525" w14:paraId="2D1D508C" w14:textId="77777777" w:rsidTr="00FF2017">
        <w:trPr>
          <w:trHeight w:val="44"/>
          <w:jc w:val="center"/>
        </w:trPr>
        <w:tc>
          <w:tcPr>
            <w:tcW w:w="553"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2FB0F88F"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15</w:t>
            </w:r>
          </w:p>
        </w:tc>
        <w:tc>
          <w:tcPr>
            <w:tcW w:w="213" w:type="pct"/>
            <w:tcBorders>
              <w:top w:val="nil"/>
              <w:left w:val="nil"/>
              <w:bottom w:val="nil"/>
              <w:right w:val="single" w:sz="4" w:space="0" w:color="auto"/>
            </w:tcBorders>
            <w:shd w:val="clear" w:color="auto" w:fill="FFE599" w:themeFill="accent4" w:themeFillTint="66"/>
            <w:noWrap/>
            <w:vAlign w:val="bottom"/>
            <w:hideMark/>
          </w:tcPr>
          <w:p w14:paraId="333C55E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15 </w:t>
            </w:r>
          </w:p>
        </w:tc>
        <w:tc>
          <w:tcPr>
            <w:tcW w:w="340" w:type="pct"/>
            <w:tcBorders>
              <w:top w:val="nil"/>
              <w:left w:val="nil"/>
              <w:bottom w:val="nil"/>
              <w:right w:val="single" w:sz="4" w:space="0" w:color="auto"/>
            </w:tcBorders>
            <w:shd w:val="clear" w:color="auto" w:fill="FFE599" w:themeFill="accent4" w:themeFillTint="66"/>
            <w:noWrap/>
            <w:vAlign w:val="bottom"/>
            <w:hideMark/>
          </w:tcPr>
          <w:p w14:paraId="2CB82B21"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90.0%</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305B4AE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25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39558FC8"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90.0%</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2279BBE8"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52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332A7B5D"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93.6%</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7FCB6E95"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79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3A5E3521"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94.8%</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4B28F52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106 </w:t>
            </w:r>
          </w:p>
        </w:tc>
        <w:tc>
          <w:tcPr>
            <w:tcW w:w="340" w:type="pct"/>
            <w:tcBorders>
              <w:top w:val="nil"/>
              <w:left w:val="nil"/>
              <w:bottom w:val="single" w:sz="4" w:space="0" w:color="auto"/>
              <w:right w:val="single" w:sz="4" w:space="0" w:color="auto"/>
            </w:tcBorders>
            <w:shd w:val="clear" w:color="auto" w:fill="auto"/>
            <w:noWrap/>
            <w:vAlign w:val="bottom"/>
            <w:hideMark/>
          </w:tcPr>
          <w:p w14:paraId="7D519B8D"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95.4%</w:t>
            </w:r>
          </w:p>
        </w:tc>
        <w:tc>
          <w:tcPr>
            <w:tcW w:w="213" w:type="pct"/>
            <w:tcBorders>
              <w:top w:val="nil"/>
              <w:left w:val="nil"/>
              <w:bottom w:val="single" w:sz="4" w:space="0" w:color="auto"/>
              <w:right w:val="single" w:sz="4" w:space="0" w:color="auto"/>
            </w:tcBorders>
            <w:shd w:val="clear" w:color="000000" w:fill="FFFFFF"/>
            <w:noWrap/>
            <w:vAlign w:val="bottom"/>
            <w:hideMark/>
          </w:tcPr>
          <w:p w14:paraId="3EC96DE1"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133 </w:t>
            </w:r>
          </w:p>
        </w:tc>
        <w:tc>
          <w:tcPr>
            <w:tcW w:w="340" w:type="pct"/>
            <w:tcBorders>
              <w:top w:val="nil"/>
              <w:left w:val="nil"/>
              <w:bottom w:val="single" w:sz="4" w:space="0" w:color="auto"/>
              <w:right w:val="single" w:sz="4" w:space="0" w:color="auto"/>
            </w:tcBorders>
            <w:shd w:val="clear" w:color="000000" w:fill="FFFFFF"/>
            <w:noWrap/>
            <w:vAlign w:val="bottom"/>
            <w:hideMark/>
          </w:tcPr>
          <w:p w14:paraId="50891BBE"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95.8%</w:t>
            </w:r>
          </w:p>
        </w:tc>
        <w:tc>
          <w:tcPr>
            <w:tcW w:w="217" w:type="pct"/>
            <w:tcBorders>
              <w:top w:val="nil"/>
              <w:left w:val="nil"/>
              <w:bottom w:val="single" w:sz="4" w:space="0" w:color="auto"/>
              <w:right w:val="single" w:sz="4" w:space="0" w:color="auto"/>
            </w:tcBorders>
            <w:shd w:val="clear" w:color="000000" w:fill="FFFFFF"/>
            <w:noWrap/>
            <w:vAlign w:val="bottom"/>
            <w:hideMark/>
          </w:tcPr>
          <w:p w14:paraId="36FA1B0B"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160 </w:t>
            </w:r>
          </w:p>
        </w:tc>
        <w:tc>
          <w:tcPr>
            <w:tcW w:w="346" w:type="pct"/>
            <w:tcBorders>
              <w:top w:val="nil"/>
              <w:left w:val="nil"/>
              <w:bottom w:val="single" w:sz="4" w:space="0" w:color="auto"/>
              <w:right w:val="single" w:sz="4" w:space="0" w:color="auto"/>
            </w:tcBorders>
            <w:shd w:val="clear" w:color="000000" w:fill="FFFFFF"/>
            <w:noWrap/>
            <w:vAlign w:val="bottom"/>
            <w:hideMark/>
          </w:tcPr>
          <w:p w14:paraId="33EC58BA"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96.0%</w:t>
            </w:r>
          </w:p>
        </w:tc>
        <w:tc>
          <w:tcPr>
            <w:tcW w:w="217" w:type="pct"/>
            <w:tcBorders>
              <w:top w:val="nil"/>
              <w:left w:val="nil"/>
              <w:bottom w:val="single" w:sz="4" w:space="0" w:color="auto"/>
              <w:right w:val="single" w:sz="4" w:space="0" w:color="auto"/>
            </w:tcBorders>
            <w:shd w:val="clear" w:color="000000" w:fill="FFFFFF"/>
            <w:noWrap/>
            <w:vAlign w:val="bottom"/>
            <w:hideMark/>
          </w:tcPr>
          <w:p w14:paraId="0D14A85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188 </w:t>
            </w:r>
          </w:p>
        </w:tc>
        <w:tc>
          <w:tcPr>
            <w:tcW w:w="346" w:type="pct"/>
            <w:tcBorders>
              <w:top w:val="nil"/>
              <w:left w:val="nil"/>
              <w:bottom w:val="single" w:sz="4" w:space="0" w:color="auto"/>
              <w:right w:val="single" w:sz="8" w:space="0" w:color="auto"/>
            </w:tcBorders>
            <w:shd w:val="clear" w:color="000000" w:fill="FFFFFF"/>
            <w:noWrap/>
            <w:vAlign w:val="bottom"/>
            <w:hideMark/>
          </w:tcPr>
          <w:p w14:paraId="6C8B0A76"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96.7%</w:t>
            </w:r>
          </w:p>
        </w:tc>
      </w:tr>
      <w:tr w:rsidR="00563525" w:rsidRPr="00563525" w14:paraId="4013D528" w14:textId="77777777" w:rsidTr="00FF2017">
        <w:trPr>
          <w:trHeight w:val="44"/>
          <w:jc w:val="center"/>
        </w:trPr>
        <w:tc>
          <w:tcPr>
            <w:tcW w:w="553"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58A7D21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30</w:t>
            </w:r>
          </w:p>
        </w:tc>
        <w:tc>
          <w:tcPr>
            <w:tcW w:w="213" w:type="pct"/>
            <w:tcBorders>
              <w:top w:val="single" w:sz="4" w:space="0" w:color="auto"/>
              <w:left w:val="single" w:sz="4" w:space="0" w:color="auto"/>
              <w:bottom w:val="nil"/>
              <w:right w:val="nil"/>
            </w:tcBorders>
            <w:shd w:val="clear" w:color="000000" w:fill="FFFFFF"/>
            <w:noWrap/>
            <w:vAlign w:val="bottom"/>
            <w:hideMark/>
          </w:tcPr>
          <w:p w14:paraId="393498C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　</w:t>
            </w:r>
          </w:p>
        </w:tc>
        <w:tc>
          <w:tcPr>
            <w:tcW w:w="340" w:type="pct"/>
            <w:tcBorders>
              <w:top w:val="single" w:sz="4" w:space="0" w:color="auto"/>
              <w:left w:val="nil"/>
              <w:bottom w:val="nil"/>
              <w:right w:val="single" w:sz="4" w:space="0" w:color="auto"/>
            </w:tcBorders>
            <w:shd w:val="clear" w:color="000000" w:fill="FFFFFF"/>
            <w:noWrap/>
            <w:vAlign w:val="bottom"/>
            <w:hideMark/>
          </w:tcPr>
          <w:p w14:paraId="31D5AF89"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 xml:space="preserve">　</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6DBBD8CF"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11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5A79665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79.2%</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7E5751FE"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24 </w:t>
            </w:r>
          </w:p>
        </w:tc>
        <w:tc>
          <w:tcPr>
            <w:tcW w:w="340" w:type="pct"/>
            <w:tcBorders>
              <w:top w:val="nil"/>
              <w:left w:val="nil"/>
              <w:bottom w:val="nil"/>
              <w:right w:val="single" w:sz="4" w:space="0" w:color="auto"/>
            </w:tcBorders>
            <w:shd w:val="clear" w:color="auto" w:fill="FFE599" w:themeFill="accent4" w:themeFillTint="66"/>
            <w:noWrap/>
            <w:vAlign w:val="bottom"/>
            <w:hideMark/>
          </w:tcPr>
          <w:p w14:paraId="76F1874A"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86.4%</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2AE01234"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38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71271327"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91.2%</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0316BD34"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51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1A651516"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91.8%</w:t>
            </w:r>
          </w:p>
        </w:tc>
        <w:tc>
          <w:tcPr>
            <w:tcW w:w="213" w:type="pct"/>
            <w:tcBorders>
              <w:top w:val="nil"/>
              <w:left w:val="nil"/>
              <w:bottom w:val="single" w:sz="4" w:space="0" w:color="auto"/>
              <w:right w:val="single" w:sz="4" w:space="0" w:color="auto"/>
            </w:tcBorders>
            <w:shd w:val="clear" w:color="auto" w:fill="FFE599" w:themeFill="accent4" w:themeFillTint="66"/>
            <w:noWrap/>
            <w:vAlign w:val="bottom"/>
            <w:hideMark/>
          </w:tcPr>
          <w:p w14:paraId="32E6B261"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65 </w:t>
            </w:r>
          </w:p>
        </w:tc>
        <w:tc>
          <w:tcPr>
            <w:tcW w:w="340" w:type="pct"/>
            <w:tcBorders>
              <w:top w:val="nil"/>
              <w:left w:val="nil"/>
              <w:bottom w:val="single" w:sz="4" w:space="0" w:color="auto"/>
              <w:right w:val="single" w:sz="4" w:space="0" w:color="auto"/>
            </w:tcBorders>
            <w:shd w:val="clear" w:color="auto" w:fill="FFE599" w:themeFill="accent4" w:themeFillTint="66"/>
            <w:noWrap/>
            <w:vAlign w:val="bottom"/>
            <w:hideMark/>
          </w:tcPr>
          <w:p w14:paraId="5756055C"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93.6%</w:t>
            </w:r>
          </w:p>
        </w:tc>
        <w:tc>
          <w:tcPr>
            <w:tcW w:w="217" w:type="pct"/>
            <w:tcBorders>
              <w:top w:val="nil"/>
              <w:left w:val="nil"/>
              <w:bottom w:val="single" w:sz="4" w:space="0" w:color="auto"/>
              <w:right w:val="single" w:sz="4" w:space="0" w:color="auto"/>
            </w:tcBorders>
            <w:shd w:val="clear" w:color="auto" w:fill="FFE599" w:themeFill="accent4" w:themeFillTint="66"/>
            <w:noWrap/>
            <w:vAlign w:val="bottom"/>
            <w:hideMark/>
          </w:tcPr>
          <w:p w14:paraId="1A187743"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78 </w:t>
            </w:r>
          </w:p>
        </w:tc>
        <w:tc>
          <w:tcPr>
            <w:tcW w:w="346" w:type="pct"/>
            <w:tcBorders>
              <w:top w:val="nil"/>
              <w:left w:val="nil"/>
              <w:bottom w:val="single" w:sz="4" w:space="0" w:color="auto"/>
              <w:right w:val="single" w:sz="4" w:space="0" w:color="auto"/>
            </w:tcBorders>
            <w:shd w:val="clear" w:color="auto" w:fill="FFE599" w:themeFill="accent4" w:themeFillTint="66"/>
            <w:noWrap/>
            <w:vAlign w:val="bottom"/>
            <w:hideMark/>
          </w:tcPr>
          <w:p w14:paraId="37A3FAD7"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93.6%</w:t>
            </w:r>
          </w:p>
        </w:tc>
        <w:tc>
          <w:tcPr>
            <w:tcW w:w="217" w:type="pct"/>
            <w:tcBorders>
              <w:top w:val="nil"/>
              <w:left w:val="nil"/>
              <w:bottom w:val="single" w:sz="4" w:space="0" w:color="auto"/>
              <w:right w:val="single" w:sz="4" w:space="0" w:color="auto"/>
            </w:tcBorders>
            <w:shd w:val="clear" w:color="auto" w:fill="FFE599" w:themeFill="accent4" w:themeFillTint="66"/>
            <w:noWrap/>
            <w:vAlign w:val="bottom"/>
            <w:hideMark/>
          </w:tcPr>
          <w:p w14:paraId="28DAD81C"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92 </w:t>
            </w:r>
          </w:p>
        </w:tc>
        <w:tc>
          <w:tcPr>
            <w:tcW w:w="346" w:type="pct"/>
            <w:tcBorders>
              <w:top w:val="nil"/>
              <w:left w:val="nil"/>
              <w:bottom w:val="single" w:sz="4" w:space="0" w:color="auto"/>
              <w:right w:val="single" w:sz="8" w:space="0" w:color="auto"/>
            </w:tcBorders>
            <w:shd w:val="clear" w:color="auto" w:fill="FFE599" w:themeFill="accent4" w:themeFillTint="66"/>
            <w:noWrap/>
            <w:vAlign w:val="bottom"/>
            <w:hideMark/>
          </w:tcPr>
          <w:p w14:paraId="6EA16104"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94.6%</w:t>
            </w:r>
          </w:p>
        </w:tc>
      </w:tr>
      <w:tr w:rsidR="00563525" w:rsidRPr="00563525" w14:paraId="64DE5DE0" w14:textId="77777777" w:rsidTr="00FF2017">
        <w:trPr>
          <w:trHeight w:val="44"/>
          <w:jc w:val="center"/>
        </w:trPr>
        <w:tc>
          <w:tcPr>
            <w:tcW w:w="553" w:type="pct"/>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53E53F5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60</w:t>
            </w:r>
          </w:p>
        </w:tc>
        <w:tc>
          <w:tcPr>
            <w:tcW w:w="213" w:type="pct"/>
            <w:tcBorders>
              <w:top w:val="nil"/>
              <w:left w:val="nil"/>
              <w:bottom w:val="single" w:sz="8" w:space="0" w:color="auto"/>
              <w:right w:val="nil"/>
            </w:tcBorders>
            <w:shd w:val="clear" w:color="000000" w:fill="FFFFFF"/>
            <w:noWrap/>
            <w:vAlign w:val="bottom"/>
            <w:hideMark/>
          </w:tcPr>
          <w:p w14:paraId="1CBCB8D7"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　</w:t>
            </w:r>
          </w:p>
        </w:tc>
        <w:tc>
          <w:tcPr>
            <w:tcW w:w="340" w:type="pct"/>
            <w:tcBorders>
              <w:top w:val="nil"/>
              <w:left w:val="nil"/>
              <w:bottom w:val="single" w:sz="8" w:space="0" w:color="auto"/>
              <w:right w:val="nil"/>
            </w:tcBorders>
            <w:shd w:val="clear" w:color="000000" w:fill="FFFFFF"/>
            <w:noWrap/>
            <w:vAlign w:val="bottom"/>
            <w:hideMark/>
          </w:tcPr>
          <w:p w14:paraId="0F0BD2B8"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　</w:t>
            </w:r>
          </w:p>
        </w:tc>
        <w:tc>
          <w:tcPr>
            <w:tcW w:w="213" w:type="pct"/>
            <w:tcBorders>
              <w:top w:val="nil"/>
              <w:left w:val="single" w:sz="4" w:space="0" w:color="auto"/>
              <w:bottom w:val="single" w:sz="8" w:space="0" w:color="auto"/>
              <w:right w:val="nil"/>
            </w:tcBorders>
            <w:shd w:val="clear" w:color="000000" w:fill="FFFFFF"/>
            <w:noWrap/>
            <w:vAlign w:val="bottom"/>
            <w:hideMark/>
          </w:tcPr>
          <w:p w14:paraId="539FA2A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　</w:t>
            </w:r>
          </w:p>
        </w:tc>
        <w:tc>
          <w:tcPr>
            <w:tcW w:w="340" w:type="pct"/>
            <w:tcBorders>
              <w:top w:val="nil"/>
              <w:left w:val="nil"/>
              <w:bottom w:val="single" w:sz="8" w:space="0" w:color="auto"/>
              <w:right w:val="single" w:sz="4" w:space="0" w:color="auto"/>
            </w:tcBorders>
            <w:shd w:val="clear" w:color="000000" w:fill="FFFFFF"/>
            <w:noWrap/>
            <w:vAlign w:val="bottom"/>
            <w:hideMark/>
          </w:tcPr>
          <w:p w14:paraId="2E30ABC7"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　</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1C3ABE7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11 </w:t>
            </w:r>
          </w:p>
        </w:tc>
        <w:tc>
          <w:tcPr>
            <w:tcW w:w="340" w:type="pct"/>
            <w:tcBorders>
              <w:top w:val="single" w:sz="4" w:space="0" w:color="auto"/>
              <w:left w:val="nil"/>
              <w:bottom w:val="single" w:sz="8" w:space="0" w:color="auto"/>
              <w:right w:val="single" w:sz="4" w:space="0" w:color="auto"/>
            </w:tcBorders>
            <w:shd w:val="clear" w:color="auto" w:fill="FFE599" w:themeFill="accent4" w:themeFillTint="66"/>
            <w:noWrap/>
            <w:vAlign w:val="bottom"/>
            <w:hideMark/>
          </w:tcPr>
          <w:p w14:paraId="14A9DEE2"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79.2%</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53D83D0C"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18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29AAD100"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86.4%</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1920A61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24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1490D04C"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86.4%</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1293A477"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31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45192D31"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89.3%</w:t>
            </w:r>
          </w:p>
        </w:tc>
        <w:tc>
          <w:tcPr>
            <w:tcW w:w="217" w:type="pct"/>
            <w:tcBorders>
              <w:top w:val="nil"/>
              <w:left w:val="nil"/>
              <w:bottom w:val="single" w:sz="8" w:space="0" w:color="auto"/>
              <w:right w:val="single" w:sz="4" w:space="0" w:color="auto"/>
            </w:tcBorders>
            <w:shd w:val="clear" w:color="auto" w:fill="FFE599" w:themeFill="accent4" w:themeFillTint="66"/>
            <w:noWrap/>
            <w:vAlign w:val="bottom"/>
            <w:hideMark/>
          </w:tcPr>
          <w:p w14:paraId="71E780F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38 </w:t>
            </w:r>
          </w:p>
        </w:tc>
        <w:tc>
          <w:tcPr>
            <w:tcW w:w="346" w:type="pct"/>
            <w:tcBorders>
              <w:top w:val="nil"/>
              <w:left w:val="nil"/>
              <w:bottom w:val="single" w:sz="8" w:space="0" w:color="auto"/>
              <w:right w:val="single" w:sz="4" w:space="0" w:color="auto"/>
            </w:tcBorders>
            <w:shd w:val="clear" w:color="auto" w:fill="FFE599" w:themeFill="accent4" w:themeFillTint="66"/>
            <w:noWrap/>
            <w:vAlign w:val="bottom"/>
            <w:hideMark/>
          </w:tcPr>
          <w:p w14:paraId="594BB7EF"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91.2%</w:t>
            </w:r>
          </w:p>
        </w:tc>
        <w:tc>
          <w:tcPr>
            <w:tcW w:w="217" w:type="pct"/>
            <w:tcBorders>
              <w:top w:val="nil"/>
              <w:left w:val="nil"/>
              <w:bottom w:val="single" w:sz="8" w:space="0" w:color="auto"/>
              <w:right w:val="single" w:sz="4" w:space="0" w:color="auto"/>
            </w:tcBorders>
            <w:shd w:val="clear" w:color="auto" w:fill="FFE599" w:themeFill="accent4" w:themeFillTint="66"/>
            <w:noWrap/>
            <w:vAlign w:val="bottom"/>
            <w:hideMark/>
          </w:tcPr>
          <w:p w14:paraId="48DC1FD2"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44 </w:t>
            </w:r>
          </w:p>
        </w:tc>
        <w:tc>
          <w:tcPr>
            <w:tcW w:w="346" w:type="pct"/>
            <w:tcBorders>
              <w:top w:val="nil"/>
              <w:left w:val="nil"/>
              <w:bottom w:val="single" w:sz="8" w:space="0" w:color="auto"/>
              <w:right w:val="single" w:sz="8" w:space="0" w:color="auto"/>
            </w:tcBorders>
            <w:shd w:val="clear" w:color="auto" w:fill="FFE599" w:themeFill="accent4" w:themeFillTint="66"/>
            <w:noWrap/>
            <w:vAlign w:val="bottom"/>
            <w:hideMark/>
          </w:tcPr>
          <w:p w14:paraId="3FBD8684"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90.5%</w:t>
            </w:r>
          </w:p>
        </w:tc>
      </w:tr>
      <w:tr w:rsidR="00563525" w:rsidRPr="00563525" w14:paraId="0C196376" w14:textId="77777777" w:rsidTr="00FF2017">
        <w:trPr>
          <w:trHeight w:val="34"/>
          <w:jc w:val="center"/>
        </w:trPr>
        <w:tc>
          <w:tcPr>
            <w:tcW w:w="553" w:type="pct"/>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14:paraId="41C4581B" w14:textId="3256B680"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SCS </w:t>
            </w:r>
            <w:r w:rsidR="00C52163">
              <w:rPr>
                <w:rFonts w:ascii="Calibri" w:hAnsi="Calibri" w:cs="Calibri"/>
                <w:b/>
                <w:bCs/>
                <w:color w:val="000000"/>
                <w:sz w:val="15"/>
                <w:szCs w:val="15"/>
                <w:lang w:val="en-US"/>
              </w:rPr>
              <w:t>(</w:t>
            </w:r>
            <w:r w:rsidR="00C52163" w:rsidRPr="00563525">
              <w:rPr>
                <w:rFonts w:ascii="Calibri" w:hAnsi="Calibri" w:cs="Calibri"/>
                <w:b/>
                <w:bCs/>
                <w:color w:val="000000"/>
                <w:sz w:val="15"/>
                <w:szCs w:val="15"/>
                <w:lang w:val="en-US"/>
              </w:rPr>
              <w:t>kH</w:t>
            </w:r>
            <w:r w:rsidR="00C52163">
              <w:rPr>
                <w:rFonts w:ascii="Calibri" w:hAnsi="Calibri" w:cs="Calibri"/>
                <w:b/>
                <w:bCs/>
                <w:color w:val="000000"/>
                <w:sz w:val="15"/>
                <w:szCs w:val="15"/>
                <w:lang w:val="en-US"/>
              </w:rPr>
              <w:t>z)</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2474D5B5"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40</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313748B0"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45</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30EC49C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50</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73D80A5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60</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4211E01C"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70</w:t>
            </w:r>
          </w:p>
        </w:tc>
        <w:tc>
          <w:tcPr>
            <w:tcW w:w="553" w:type="pct"/>
            <w:gridSpan w:val="2"/>
            <w:tcBorders>
              <w:top w:val="single" w:sz="8" w:space="0" w:color="auto"/>
              <w:left w:val="nil"/>
              <w:bottom w:val="single" w:sz="4" w:space="0" w:color="auto"/>
              <w:right w:val="single" w:sz="4" w:space="0" w:color="auto"/>
            </w:tcBorders>
            <w:shd w:val="clear" w:color="000000" w:fill="FFFFFF"/>
            <w:noWrap/>
            <w:vAlign w:val="center"/>
            <w:hideMark/>
          </w:tcPr>
          <w:p w14:paraId="42CF5BA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80</w:t>
            </w:r>
          </w:p>
        </w:tc>
        <w:tc>
          <w:tcPr>
            <w:tcW w:w="564" w:type="pct"/>
            <w:gridSpan w:val="2"/>
            <w:tcBorders>
              <w:top w:val="single" w:sz="8" w:space="0" w:color="auto"/>
              <w:left w:val="nil"/>
              <w:bottom w:val="single" w:sz="4" w:space="0" w:color="auto"/>
              <w:right w:val="single" w:sz="4" w:space="0" w:color="000000"/>
            </w:tcBorders>
            <w:shd w:val="clear" w:color="000000" w:fill="FFFFFF"/>
            <w:noWrap/>
            <w:vAlign w:val="center"/>
            <w:hideMark/>
          </w:tcPr>
          <w:p w14:paraId="27FCDCF5"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90</w:t>
            </w:r>
          </w:p>
        </w:tc>
        <w:tc>
          <w:tcPr>
            <w:tcW w:w="564" w:type="pct"/>
            <w:gridSpan w:val="2"/>
            <w:tcBorders>
              <w:top w:val="single" w:sz="8" w:space="0" w:color="auto"/>
              <w:left w:val="nil"/>
              <w:bottom w:val="single" w:sz="4" w:space="0" w:color="auto"/>
              <w:right w:val="single" w:sz="8" w:space="0" w:color="000000"/>
            </w:tcBorders>
            <w:shd w:val="clear" w:color="000000" w:fill="FFFFFF"/>
            <w:noWrap/>
            <w:vAlign w:val="center"/>
            <w:hideMark/>
          </w:tcPr>
          <w:p w14:paraId="2AB56611"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100</w:t>
            </w:r>
          </w:p>
        </w:tc>
      </w:tr>
      <w:tr w:rsidR="00563525" w:rsidRPr="00563525" w14:paraId="42427D25" w14:textId="77777777" w:rsidTr="00FF2017">
        <w:trPr>
          <w:trHeight w:val="34"/>
          <w:jc w:val="center"/>
        </w:trPr>
        <w:tc>
          <w:tcPr>
            <w:tcW w:w="553" w:type="pct"/>
            <w:vMerge/>
            <w:tcBorders>
              <w:top w:val="single" w:sz="8" w:space="0" w:color="auto"/>
              <w:left w:val="single" w:sz="8" w:space="0" w:color="auto"/>
              <w:bottom w:val="single" w:sz="4" w:space="0" w:color="auto"/>
              <w:right w:val="single" w:sz="4" w:space="0" w:color="auto"/>
            </w:tcBorders>
            <w:vAlign w:val="center"/>
            <w:hideMark/>
          </w:tcPr>
          <w:p w14:paraId="45094BB5" w14:textId="77777777" w:rsidR="00563525" w:rsidRPr="00563525" w:rsidRDefault="00563525" w:rsidP="00563525">
            <w:pPr>
              <w:overflowPunct/>
              <w:autoSpaceDE/>
              <w:autoSpaceDN/>
              <w:adjustRightInd/>
              <w:snapToGrid w:val="0"/>
              <w:spacing w:after="0"/>
              <w:textAlignment w:val="auto"/>
              <w:rPr>
                <w:rFonts w:ascii="Calibri" w:hAnsi="Calibri" w:cs="Calibri"/>
                <w:b/>
                <w:bCs/>
                <w:color w:val="000000"/>
                <w:sz w:val="15"/>
                <w:szCs w:val="15"/>
                <w:lang w:val="en-US"/>
              </w:rPr>
            </w:pPr>
          </w:p>
        </w:tc>
        <w:tc>
          <w:tcPr>
            <w:tcW w:w="213" w:type="pct"/>
            <w:tcBorders>
              <w:top w:val="nil"/>
              <w:left w:val="nil"/>
              <w:bottom w:val="single" w:sz="4" w:space="0" w:color="auto"/>
              <w:right w:val="single" w:sz="4" w:space="0" w:color="auto"/>
            </w:tcBorders>
            <w:shd w:val="clear" w:color="000000" w:fill="FFFFFF"/>
            <w:noWrap/>
            <w:vAlign w:val="center"/>
            <w:hideMark/>
          </w:tcPr>
          <w:p w14:paraId="10AA2E2E"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6BBA62DD" w14:textId="080B61E1"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686FB56A"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208F8A89" w14:textId="73AB2B4F"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single" w:sz="4" w:space="0" w:color="auto"/>
              <w:right w:val="single" w:sz="4" w:space="0" w:color="auto"/>
            </w:tcBorders>
            <w:shd w:val="clear" w:color="000000" w:fill="FFFFFF"/>
            <w:noWrap/>
            <w:vAlign w:val="center"/>
            <w:hideMark/>
          </w:tcPr>
          <w:p w14:paraId="3DC27A3E"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single" w:sz="4" w:space="0" w:color="auto"/>
              <w:right w:val="single" w:sz="4" w:space="0" w:color="auto"/>
            </w:tcBorders>
            <w:shd w:val="clear" w:color="000000" w:fill="FFFFFF"/>
            <w:noWrap/>
            <w:vAlign w:val="center"/>
            <w:hideMark/>
          </w:tcPr>
          <w:p w14:paraId="68D87982" w14:textId="642EDDED"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nil"/>
              <w:right w:val="single" w:sz="4" w:space="0" w:color="auto"/>
            </w:tcBorders>
            <w:shd w:val="clear" w:color="000000" w:fill="FFFFFF"/>
            <w:noWrap/>
            <w:vAlign w:val="center"/>
            <w:hideMark/>
          </w:tcPr>
          <w:p w14:paraId="53BA5A06"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nil"/>
              <w:right w:val="single" w:sz="4" w:space="0" w:color="auto"/>
            </w:tcBorders>
            <w:shd w:val="clear" w:color="000000" w:fill="FFFFFF"/>
            <w:noWrap/>
            <w:vAlign w:val="center"/>
            <w:hideMark/>
          </w:tcPr>
          <w:p w14:paraId="2F1C844D" w14:textId="52EEC409"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nil"/>
              <w:right w:val="single" w:sz="4" w:space="0" w:color="auto"/>
            </w:tcBorders>
            <w:shd w:val="clear" w:color="000000" w:fill="FFFFFF"/>
            <w:noWrap/>
            <w:vAlign w:val="center"/>
            <w:hideMark/>
          </w:tcPr>
          <w:p w14:paraId="740C5BEE"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nil"/>
              <w:right w:val="single" w:sz="4" w:space="0" w:color="auto"/>
            </w:tcBorders>
            <w:shd w:val="clear" w:color="000000" w:fill="FFFFFF"/>
            <w:noWrap/>
            <w:vAlign w:val="center"/>
            <w:hideMark/>
          </w:tcPr>
          <w:p w14:paraId="192FB120" w14:textId="29A9FDD9"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3" w:type="pct"/>
            <w:tcBorders>
              <w:top w:val="nil"/>
              <w:left w:val="nil"/>
              <w:bottom w:val="nil"/>
              <w:right w:val="single" w:sz="4" w:space="0" w:color="auto"/>
            </w:tcBorders>
            <w:shd w:val="clear" w:color="000000" w:fill="FFFFFF"/>
            <w:noWrap/>
            <w:vAlign w:val="center"/>
            <w:hideMark/>
          </w:tcPr>
          <w:p w14:paraId="55AACF3F"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0" w:type="pct"/>
            <w:tcBorders>
              <w:top w:val="nil"/>
              <w:left w:val="nil"/>
              <w:bottom w:val="nil"/>
              <w:right w:val="single" w:sz="4" w:space="0" w:color="auto"/>
            </w:tcBorders>
            <w:shd w:val="clear" w:color="000000" w:fill="FFFFFF"/>
            <w:noWrap/>
            <w:vAlign w:val="center"/>
            <w:hideMark/>
          </w:tcPr>
          <w:p w14:paraId="14DD8DB0" w14:textId="2CABC7A1"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7" w:type="pct"/>
            <w:tcBorders>
              <w:top w:val="nil"/>
              <w:left w:val="nil"/>
              <w:bottom w:val="nil"/>
              <w:right w:val="single" w:sz="4" w:space="0" w:color="auto"/>
            </w:tcBorders>
            <w:shd w:val="clear" w:color="000000" w:fill="FFFFFF"/>
            <w:noWrap/>
            <w:vAlign w:val="center"/>
            <w:hideMark/>
          </w:tcPr>
          <w:p w14:paraId="12915EB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6" w:type="pct"/>
            <w:tcBorders>
              <w:top w:val="nil"/>
              <w:left w:val="nil"/>
              <w:bottom w:val="nil"/>
              <w:right w:val="single" w:sz="4" w:space="0" w:color="auto"/>
            </w:tcBorders>
            <w:shd w:val="clear" w:color="000000" w:fill="FFFFFF"/>
            <w:noWrap/>
            <w:vAlign w:val="center"/>
            <w:hideMark/>
          </w:tcPr>
          <w:p w14:paraId="6DEAB09F" w14:textId="4E4CA8C7"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c>
          <w:tcPr>
            <w:tcW w:w="217" w:type="pct"/>
            <w:tcBorders>
              <w:top w:val="nil"/>
              <w:left w:val="nil"/>
              <w:bottom w:val="nil"/>
              <w:right w:val="single" w:sz="4" w:space="0" w:color="auto"/>
            </w:tcBorders>
            <w:shd w:val="clear" w:color="000000" w:fill="FFFFFF"/>
            <w:noWrap/>
            <w:vAlign w:val="center"/>
            <w:hideMark/>
          </w:tcPr>
          <w:p w14:paraId="5F86BB6C"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N</w:t>
            </w:r>
            <w:r w:rsidRPr="00563525">
              <w:rPr>
                <w:rFonts w:ascii="Calibri" w:hAnsi="Calibri" w:cs="Calibri"/>
                <w:color w:val="000000"/>
                <w:sz w:val="15"/>
                <w:szCs w:val="15"/>
                <w:vertAlign w:val="subscript"/>
                <w:lang w:val="en-US"/>
              </w:rPr>
              <w:t>RB</w:t>
            </w:r>
          </w:p>
        </w:tc>
        <w:tc>
          <w:tcPr>
            <w:tcW w:w="346" w:type="pct"/>
            <w:tcBorders>
              <w:top w:val="nil"/>
              <w:left w:val="nil"/>
              <w:bottom w:val="nil"/>
              <w:right w:val="single" w:sz="8" w:space="0" w:color="auto"/>
            </w:tcBorders>
            <w:shd w:val="clear" w:color="000000" w:fill="FFFFFF"/>
            <w:noWrap/>
            <w:vAlign w:val="center"/>
            <w:hideMark/>
          </w:tcPr>
          <w:p w14:paraId="4ED0FB38" w14:textId="3C4EEBA0" w:rsidR="00563525" w:rsidRPr="00563525" w:rsidRDefault="00C52163" w:rsidP="00563525">
            <w:pPr>
              <w:overflowPunct/>
              <w:autoSpaceDE/>
              <w:autoSpaceDN/>
              <w:adjustRightInd/>
              <w:snapToGrid w:val="0"/>
              <w:spacing w:after="0"/>
              <w:jc w:val="center"/>
              <w:textAlignment w:val="auto"/>
              <w:rPr>
                <w:rFonts w:ascii="Calibri" w:hAnsi="Calibri" w:cs="Calibri"/>
                <w:color w:val="000000"/>
                <w:sz w:val="15"/>
                <w:szCs w:val="15"/>
                <w:lang w:val="en-US"/>
              </w:rPr>
            </w:pPr>
            <w:r>
              <w:rPr>
                <w:rFonts w:ascii="Calibri" w:hAnsi="Calibri" w:cs="Calibri"/>
                <w:color w:val="000000"/>
                <w:sz w:val="15"/>
                <w:szCs w:val="15"/>
                <w:lang w:val="en-US"/>
              </w:rPr>
              <w:t>Y (%)</w:t>
            </w:r>
          </w:p>
        </w:tc>
      </w:tr>
      <w:tr w:rsidR="00563525" w:rsidRPr="00563525" w14:paraId="2CD2CE93" w14:textId="77777777" w:rsidTr="00FF2017">
        <w:trPr>
          <w:trHeight w:val="44"/>
          <w:jc w:val="center"/>
        </w:trPr>
        <w:tc>
          <w:tcPr>
            <w:tcW w:w="553"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0BC7BA34"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15</w:t>
            </w:r>
          </w:p>
        </w:tc>
        <w:tc>
          <w:tcPr>
            <w:tcW w:w="213" w:type="pct"/>
            <w:tcBorders>
              <w:top w:val="nil"/>
              <w:left w:val="nil"/>
              <w:bottom w:val="single" w:sz="4" w:space="0" w:color="auto"/>
              <w:right w:val="single" w:sz="4" w:space="0" w:color="auto"/>
            </w:tcBorders>
            <w:shd w:val="clear" w:color="000000" w:fill="FFFFFF"/>
            <w:noWrap/>
            <w:vAlign w:val="bottom"/>
            <w:hideMark/>
          </w:tcPr>
          <w:p w14:paraId="083F147E"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216 </w:t>
            </w:r>
          </w:p>
        </w:tc>
        <w:tc>
          <w:tcPr>
            <w:tcW w:w="340" w:type="pct"/>
            <w:tcBorders>
              <w:top w:val="nil"/>
              <w:left w:val="nil"/>
              <w:bottom w:val="single" w:sz="4" w:space="0" w:color="auto"/>
              <w:right w:val="single" w:sz="4" w:space="0" w:color="auto"/>
            </w:tcBorders>
            <w:shd w:val="clear" w:color="000000" w:fill="FFFFFF"/>
            <w:noWrap/>
            <w:vAlign w:val="bottom"/>
            <w:hideMark/>
          </w:tcPr>
          <w:p w14:paraId="7701D0B4"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97.2%</w:t>
            </w:r>
          </w:p>
        </w:tc>
        <w:tc>
          <w:tcPr>
            <w:tcW w:w="213" w:type="pct"/>
            <w:tcBorders>
              <w:top w:val="nil"/>
              <w:left w:val="nil"/>
              <w:bottom w:val="single" w:sz="4" w:space="0" w:color="auto"/>
              <w:right w:val="single" w:sz="4" w:space="0" w:color="auto"/>
            </w:tcBorders>
            <w:shd w:val="clear" w:color="000000" w:fill="FFFFFF"/>
            <w:noWrap/>
            <w:vAlign w:val="bottom"/>
            <w:hideMark/>
          </w:tcPr>
          <w:p w14:paraId="1BB08CAB"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242 </w:t>
            </w:r>
          </w:p>
        </w:tc>
        <w:tc>
          <w:tcPr>
            <w:tcW w:w="340" w:type="pct"/>
            <w:tcBorders>
              <w:top w:val="nil"/>
              <w:left w:val="nil"/>
              <w:bottom w:val="single" w:sz="4" w:space="0" w:color="auto"/>
              <w:right w:val="single" w:sz="4" w:space="0" w:color="auto"/>
            </w:tcBorders>
            <w:shd w:val="clear" w:color="000000" w:fill="FFFFFF"/>
            <w:noWrap/>
            <w:vAlign w:val="bottom"/>
            <w:hideMark/>
          </w:tcPr>
          <w:p w14:paraId="5F113896"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96.8%</w:t>
            </w:r>
          </w:p>
        </w:tc>
        <w:tc>
          <w:tcPr>
            <w:tcW w:w="213" w:type="pct"/>
            <w:tcBorders>
              <w:top w:val="nil"/>
              <w:left w:val="nil"/>
              <w:bottom w:val="single" w:sz="4" w:space="0" w:color="auto"/>
              <w:right w:val="single" w:sz="4" w:space="0" w:color="auto"/>
            </w:tcBorders>
            <w:shd w:val="clear" w:color="000000" w:fill="FFFFFF"/>
            <w:noWrap/>
            <w:vAlign w:val="bottom"/>
            <w:hideMark/>
          </w:tcPr>
          <w:p w14:paraId="32B4C2BC"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270 </w:t>
            </w:r>
          </w:p>
        </w:tc>
        <w:tc>
          <w:tcPr>
            <w:tcW w:w="340" w:type="pct"/>
            <w:tcBorders>
              <w:top w:val="nil"/>
              <w:left w:val="nil"/>
              <w:bottom w:val="single" w:sz="4" w:space="0" w:color="auto"/>
              <w:right w:val="nil"/>
            </w:tcBorders>
            <w:shd w:val="clear" w:color="000000" w:fill="FFFFFF"/>
            <w:noWrap/>
            <w:vAlign w:val="bottom"/>
            <w:hideMark/>
          </w:tcPr>
          <w:p w14:paraId="5B9F83E2"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96.5%</w:t>
            </w:r>
          </w:p>
        </w:tc>
        <w:tc>
          <w:tcPr>
            <w:tcW w:w="213" w:type="pct"/>
            <w:tcBorders>
              <w:top w:val="single" w:sz="4" w:space="0" w:color="auto"/>
              <w:left w:val="single" w:sz="4" w:space="0" w:color="auto"/>
              <w:bottom w:val="single" w:sz="4" w:space="0" w:color="auto"/>
              <w:right w:val="nil"/>
            </w:tcBorders>
            <w:shd w:val="clear" w:color="000000" w:fill="FFFFFF"/>
            <w:noWrap/>
            <w:vAlign w:val="bottom"/>
            <w:hideMark/>
          </w:tcPr>
          <w:p w14:paraId="119349EC"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FF0000"/>
                <w:sz w:val="15"/>
                <w:szCs w:val="15"/>
                <w:lang w:val="en-US"/>
              </w:rPr>
            </w:pPr>
            <w:r w:rsidRPr="00563525">
              <w:rPr>
                <w:rFonts w:ascii="Calibri" w:hAnsi="Calibri" w:cs="Calibri"/>
                <w:b/>
                <w:bCs/>
                <w:color w:val="FF0000"/>
                <w:sz w:val="15"/>
                <w:szCs w:val="15"/>
                <w:lang w:val="en-US"/>
              </w:rPr>
              <w:t xml:space="preserve">　</w:t>
            </w:r>
          </w:p>
        </w:tc>
        <w:tc>
          <w:tcPr>
            <w:tcW w:w="340" w:type="pct"/>
            <w:tcBorders>
              <w:top w:val="single" w:sz="4" w:space="0" w:color="auto"/>
              <w:left w:val="nil"/>
              <w:bottom w:val="single" w:sz="4" w:space="0" w:color="auto"/>
              <w:right w:val="nil"/>
            </w:tcBorders>
            <w:shd w:val="clear" w:color="000000" w:fill="FFFFFF"/>
            <w:noWrap/>
            <w:vAlign w:val="bottom"/>
            <w:hideMark/>
          </w:tcPr>
          <w:p w14:paraId="5A87ADE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FF0000"/>
                <w:sz w:val="15"/>
                <w:szCs w:val="15"/>
                <w:lang w:val="en-US"/>
              </w:rPr>
            </w:pPr>
            <w:r w:rsidRPr="00563525">
              <w:rPr>
                <w:rFonts w:ascii="Calibri" w:hAnsi="Calibri" w:cs="Calibri"/>
                <w:color w:val="FF0000"/>
                <w:sz w:val="15"/>
                <w:szCs w:val="15"/>
                <w:lang w:val="en-US"/>
              </w:rPr>
              <w:t xml:space="preserve">　</w:t>
            </w:r>
          </w:p>
        </w:tc>
        <w:tc>
          <w:tcPr>
            <w:tcW w:w="213" w:type="pct"/>
            <w:tcBorders>
              <w:top w:val="single" w:sz="4" w:space="0" w:color="auto"/>
              <w:left w:val="nil"/>
              <w:bottom w:val="single" w:sz="4" w:space="0" w:color="auto"/>
              <w:right w:val="nil"/>
            </w:tcBorders>
            <w:shd w:val="clear" w:color="000000" w:fill="FFFFFF"/>
            <w:noWrap/>
            <w:vAlign w:val="bottom"/>
            <w:hideMark/>
          </w:tcPr>
          <w:p w14:paraId="2226BE6D"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FF0000"/>
                <w:sz w:val="15"/>
                <w:szCs w:val="15"/>
                <w:lang w:val="en-US"/>
              </w:rPr>
            </w:pPr>
            <w:r w:rsidRPr="00563525">
              <w:rPr>
                <w:rFonts w:ascii="Calibri" w:hAnsi="Calibri" w:cs="Calibri"/>
                <w:color w:val="FF0000"/>
                <w:sz w:val="15"/>
                <w:szCs w:val="15"/>
                <w:lang w:val="en-US"/>
              </w:rPr>
              <w:t xml:space="preserve">　</w:t>
            </w:r>
          </w:p>
        </w:tc>
        <w:tc>
          <w:tcPr>
            <w:tcW w:w="340" w:type="pct"/>
            <w:tcBorders>
              <w:top w:val="single" w:sz="4" w:space="0" w:color="auto"/>
              <w:left w:val="nil"/>
              <w:bottom w:val="single" w:sz="4" w:space="0" w:color="auto"/>
              <w:right w:val="nil"/>
            </w:tcBorders>
            <w:shd w:val="clear" w:color="000000" w:fill="FFFFFF"/>
            <w:noWrap/>
            <w:vAlign w:val="bottom"/>
            <w:hideMark/>
          </w:tcPr>
          <w:p w14:paraId="436410B9"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FF0000"/>
                <w:sz w:val="15"/>
                <w:szCs w:val="15"/>
                <w:lang w:val="en-US"/>
              </w:rPr>
            </w:pPr>
            <w:r w:rsidRPr="00563525">
              <w:rPr>
                <w:rFonts w:ascii="Calibri" w:hAnsi="Calibri" w:cs="Calibri"/>
                <w:color w:val="FF0000"/>
                <w:sz w:val="15"/>
                <w:szCs w:val="15"/>
                <w:lang w:val="en-US"/>
              </w:rPr>
              <w:t xml:space="preserve">　</w:t>
            </w:r>
          </w:p>
        </w:tc>
        <w:tc>
          <w:tcPr>
            <w:tcW w:w="213" w:type="pct"/>
            <w:tcBorders>
              <w:top w:val="single" w:sz="4" w:space="0" w:color="auto"/>
              <w:left w:val="nil"/>
              <w:bottom w:val="single" w:sz="4" w:space="0" w:color="auto"/>
              <w:right w:val="nil"/>
            </w:tcBorders>
            <w:shd w:val="clear" w:color="000000" w:fill="FFFFFF"/>
            <w:noWrap/>
            <w:vAlign w:val="bottom"/>
            <w:hideMark/>
          </w:tcPr>
          <w:p w14:paraId="70E25ABA"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sz w:val="15"/>
                <w:szCs w:val="15"/>
                <w:lang w:val="en-US"/>
              </w:rPr>
            </w:pPr>
            <w:r w:rsidRPr="00563525">
              <w:rPr>
                <w:rFonts w:ascii="Calibri" w:hAnsi="Calibri" w:cs="Calibri"/>
                <w:b/>
                <w:bCs/>
                <w:sz w:val="15"/>
                <w:szCs w:val="15"/>
                <w:lang w:val="en-US"/>
              </w:rPr>
              <w:t xml:space="preserve">　</w:t>
            </w:r>
          </w:p>
        </w:tc>
        <w:tc>
          <w:tcPr>
            <w:tcW w:w="340" w:type="pct"/>
            <w:tcBorders>
              <w:top w:val="single" w:sz="4" w:space="0" w:color="auto"/>
              <w:left w:val="nil"/>
              <w:bottom w:val="single" w:sz="4" w:space="0" w:color="auto"/>
              <w:right w:val="nil"/>
            </w:tcBorders>
            <w:shd w:val="clear" w:color="000000" w:fill="FFFFFF"/>
            <w:noWrap/>
            <w:vAlign w:val="bottom"/>
            <w:hideMark/>
          </w:tcPr>
          <w:p w14:paraId="36BF8363" w14:textId="77777777" w:rsidR="00563525" w:rsidRPr="00563525" w:rsidRDefault="00563525" w:rsidP="00563525">
            <w:pPr>
              <w:overflowPunct/>
              <w:autoSpaceDE/>
              <w:autoSpaceDN/>
              <w:adjustRightInd/>
              <w:snapToGrid w:val="0"/>
              <w:spacing w:after="0"/>
              <w:jc w:val="center"/>
              <w:textAlignment w:val="auto"/>
              <w:rPr>
                <w:rFonts w:ascii="Calibri" w:hAnsi="Calibri" w:cs="Calibri"/>
                <w:sz w:val="15"/>
                <w:szCs w:val="15"/>
                <w:lang w:val="en-US"/>
              </w:rPr>
            </w:pPr>
            <w:r w:rsidRPr="00563525">
              <w:rPr>
                <w:rFonts w:ascii="Calibri" w:hAnsi="Calibri" w:cs="Calibri"/>
                <w:sz w:val="15"/>
                <w:szCs w:val="15"/>
                <w:lang w:val="en-US"/>
              </w:rPr>
              <w:t xml:space="preserve">　</w:t>
            </w:r>
          </w:p>
        </w:tc>
        <w:tc>
          <w:tcPr>
            <w:tcW w:w="217" w:type="pct"/>
            <w:tcBorders>
              <w:top w:val="single" w:sz="4" w:space="0" w:color="auto"/>
              <w:left w:val="nil"/>
              <w:bottom w:val="single" w:sz="4" w:space="0" w:color="auto"/>
              <w:right w:val="nil"/>
            </w:tcBorders>
            <w:shd w:val="clear" w:color="000000" w:fill="FFFFFF"/>
            <w:noWrap/>
            <w:vAlign w:val="bottom"/>
            <w:hideMark/>
          </w:tcPr>
          <w:p w14:paraId="6C204381" w14:textId="77777777" w:rsidR="00563525" w:rsidRPr="00563525" w:rsidRDefault="00563525" w:rsidP="00563525">
            <w:pPr>
              <w:overflowPunct/>
              <w:autoSpaceDE/>
              <w:autoSpaceDN/>
              <w:adjustRightInd/>
              <w:snapToGrid w:val="0"/>
              <w:spacing w:after="0"/>
              <w:jc w:val="center"/>
              <w:textAlignment w:val="auto"/>
              <w:rPr>
                <w:rFonts w:ascii="Calibri" w:hAnsi="Calibri" w:cs="Calibri"/>
                <w:sz w:val="15"/>
                <w:szCs w:val="15"/>
                <w:lang w:val="en-US"/>
              </w:rPr>
            </w:pPr>
            <w:r w:rsidRPr="00563525">
              <w:rPr>
                <w:rFonts w:ascii="Calibri" w:hAnsi="Calibri" w:cs="Calibri"/>
                <w:sz w:val="15"/>
                <w:szCs w:val="15"/>
                <w:lang w:val="en-US"/>
              </w:rPr>
              <w:t xml:space="preserve">　</w:t>
            </w:r>
          </w:p>
        </w:tc>
        <w:tc>
          <w:tcPr>
            <w:tcW w:w="346" w:type="pct"/>
            <w:tcBorders>
              <w:top w:val="single" w:sz="4" w:space="0" w:color="auto"/>
              <w:left w:val="nil"/>
              <w:bottom w:val="single" w:sz="4" w:space="0" w:color="auto"/>
              <w:right w:val="nil"/>
            </w:tcBorders>
            <w:shd w:val="clear" w:color="000000" w:fill="FFFFFF"/>
            <w:noWrap/>
            <w:vAlign w:val="bottom"/>
            <w:hideMark/>
          </w:tcPr>
          <w:p w14:paraId="2CCAA433" w14:textId="77777777" w:rsidR="00563525" w:rsidRPr="00563525" w:rsidRDefault="00563525" w:rsidP="00563525">
            <w:pPr>
              <w:overflowPunct/>
              <w:autoSpaceDE/>
              <w:autoSpaceDN/>
              <w:adjustRightInd/>
              <w:snapToGrid w:val="0"/>
              <w:spacing w:after="0"/>
              <w:jc w:val="center"/>
              <w:textAlignment w:val="auto"/>
              <w:rPr>
                <w:rFonts w:ascii="Calibri" w:hAnsi="Calibri" w:cs="Calibri"/>
                <w:sz w:val="15"/>
                <w:szCs w:val="15"/>
                <w:lang w:val="en-US"/>
              </w:rPr>
            </w:pPr>
            <w:r w:rsidRPr="00563525">
              <w:rPr>
                <w:rFonts w:ascii="Calibri" w:hAnsi="Calibri" w:cs="Calibri"/>
                <w:sz w:val="15"/>
                <w:szCs w:val="15"/>
                <w:lang w:val="en-US"/>
              </w:rPr>
              <w:t xml:space="preserve">　</w:t>
            </w:r>
          </w:p>
        </w:tc>
        <w:tc>
          <w:tcPr>
            <w:tcW w:w="217" w:type="pct"/>
            <w:tcBorders>
              <w:top w:val="single" w:sz="4" w:space="0" w:color="auto"/>
              <w:left w:val="nil"/>
              <w:bottom w:val="single" w:sz="4" w:space="0" w:color="auto"/>
              <w:right w:val="nil"/>
            </w:tcBorders>
            <w:shd w:val="clear" w:color="000000" w:fill="FFFFFF"/>
            <w:noWrap/>
            <w:vAlign w:val="bottom"/>
            <w:hideMark/>
          </w:tcPr>
          <w:p w14:paraId="750A0793"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sz w:val="15"/>
                <w:szCs w:val="15"/>
                <w:lang w:val="en-US"/>
              </w:rPr>
            </w:pPr>
            <w:r w:rsidRPr="00563525">
              <w:rPr>
                <w:rFonts w:ascii="Calibri" w:hAnsi="Calibri" w:cs="Calibri"/>
                <w:b/>
                <w:bCs/>
                <w:sz w:val="15"/>
                <w:szCs w:val="15"/>
                <w:lang w:val="en-US"/>
              </w:rPr>
              <w:t xml:space="preserve">　</w:t>
            </w:r>
          </w:p>
        </w:tc>
        <w:tc>
          <w:tcPr>
            <w:tcW w:w="346" w:type="pct"/>
            <w:tcBorders>
              <w:top w:val="single" w:sz="4" w:space="0" w:color="auto"/>
              <w:left w:val="nil"/>
              <w:bottom w:val="single" w:sz="4" w:space="0" w:color="auto"/>
              <w:right w:val="single" w:sz="8" w:space="0" w:color="auto"/>
            </w:tcBorders>
            <w:shd w:val="clear" w:color="000000" w:fill="FFFFFF"/>
            <w:noWrap/>
            <w:vAlign w:val="bottom"/>
            <w:hideMark/>
          </w:tcPr>
          <w:p w14:paraId="1CD18472" w14:textId="77777777" w:rsidR="00563525" w:rsidRPr="00563525" w:rsidRDefault="00563525" w:rsidP="00563525">
            <w:pPr>
              <w:overflowPunct/>
              <w:autoSpaceDE/>
              <w:autoSpaceDN/>
              <w:adjustRightInd/>
              <w:snapToGrid w:val="0"/>
              <w:spacing w:after="0"/>
              <w:jc w:val="center"/>
              <w:textAlignment w:val="auto"/>
              <w:rPr>
                <w:rFonts w:ascii="Calibri" w:hAnsi="Calibri" w:cs="Calibri"/>
                <w:sz w:val="15"/>
                <w:szCs w:val="15"/>
                <w:lang w:val="en-US"/>
              </w:rPr>
            </w:pPr>
            <w:r w:rsidRPr="00563525">
              <w:rPr>
                <w:rFonts w:ascii="Calibri" w:hAnsi="Calibri" w:cs="Calibri"/>
                <w:sz w:val="15"/>
                <w:szCs w:val="15"/>
                <w:lang w:val="en-US"/>
              </w:rPr>
              <w:t xml:space="preserve">　</w:t>
            </w:r>
          </w:p>
        </w:tc>
      </w:tr>
      <w:tr w:rsidR="00563525" w:rsidRPr="00563525" w14:paraId="757926D5" w14:textId="77777777" w:rsidTr="00FF2017">
        <w:trPr>
          <w:trHeight w:val="44"/>
          <w:jc w:val="center"/>
        </w:trPr>
        <w:tc>
          <w:tcPr>
            <w:tcW w:w="553" w:type="pct"/>
            <w:tcBorders>
              <w:top w:val="single" w:sz="4" w:space="0" w:color="auto"/>
              <w:left w:val="single" w:sz="8" w:space="0" w:color="auto"/>
              <w:bottom w:val="single" w:sz="4" w:space="0" w:color="auto"/>
              <w:right w:val="single" w:sz="4" w:space="0" w:color="auto"/>
            </w:tcBorders>
            <w:shd w:val="clear" w:color="000000" w:fill="FFFFFF"/>
            <w:noWrap/>
            <w:vAlign w:val="center"/>
            <w:hideMark/>
          </w:tcPr>
          <w:p w14:paraId="2E4BA9FB"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30</w:t>
            </w:r>
          </w:p>
        </w:tc>
        <w:tc>
          <w:tcPr>
            <w:tcW w:w="213" w:type="pct"/>
            <w:tcBorders>
              <w:top w:val="nil"/>
              <w:left w:val="nil"/>
              <w:bottom w:val="single" w:sz="4" w:space="0" w:color="auto"/>
              <w:right w:val="single" w:sz="4" w:space="0" w:color="auto"/>
            </w:tcBorders>
            <w:shd w:val="clear" w:color="000000" w:fill="FFFFFF"/>
            <w:noWrap/>
            <w:vAlign w:val="bottom"/>
            <w:hideMark/>
          </w:tcPr>
          <w:p w14:paraId="27C4CE16"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106 </w:t>
            </w:r>
          </w:p>
        </w:tc>
        <w:tc>
          <w:tcPr>
            <w:tcW w:w="340" w:type="pct"/>
            <w:tcBorders>
              <w:top w:val="nil"/>
              <w:left w:val="nil"/>
              <w:bottom w:val="single" w:sz="4" w:space="0" w:color="auto"/>
              <w:right w:val="single" w:sz="4" w:space="0" w:color="auto"/>
            </w:tcBorders>
            <w:shd w:val="clear" w:color="000000" w:fill="FFFFFF"/>
            <w:noWrap/>
            <w:vAlign w:val="bottom"/>
            <w:hideMark/>
          </w:tcPr>
          <w:p w14:paraId="4422FBE8"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95.4%</w:t>
            </w:r>
          </w:p>
        </w:tc>
        <w:tc>
          <w:tcPr>
            <w:tcW w:w="213" w:type="pct"/>
            <w:tcBorders>
              <w:top w:val="nil"/>
              <w:left w:val="nil"/>
              <w:bottom w:val="single" w:sz="4" w:space="0" w:color="auto"/>
              <w:right w:val="single" w:sz="4" w:space="0" w:color="auto"/>
            </w:tcBorders>
            <w:shd w:val="clear" w:color="000000" w:fill="FFFFFF"/>
            <w:noWrap/>
            <w:vAlign w:val="bottom"/>
            <w:hideMark/>
          </w:tcPr>
          <w:p w14:paraId="0D26CBED"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119 </w:t>
            </w:r>
          </w:p>
        </w:tc>
        <w:tc>
          <w:tcPr>
            <w:tcW w:w="340" w:type="pct"/>
            <w:tcBorders>
              <w:top w:val="nil"/>
              <w:left w:val="nil"/>
              <w:bottom w:val="single" w:sz="4" w:space="0" w:color="auto"/>
              <w:right w:val="single" w:sz="4" w:space="0" w:color="auto"/>
            </w:tcBorders>
            <w:shd w:val="clear" w:color="000000" w:fill="FFFFFF"/>
            <w:noWrap/>
            <w:vAlign w:val="bottom"/>
            <w:hideMark/>
          </w:tcPr>
          <w:p w14:paraId="2469F201"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95.2%</w:t>
            </w:r>
          </w:p>
        </w:tc>
        <w:tc>
          <w:tcPr>
            <w:tcW w:w="213" w:type="pct"/>
            <w:tcBorders>
              <w:top w:val="nil"/>
              <w:left w:val="nil"/>
              <w:bottom w:val="single" w:sz="4" w:space="0" w:color="auto"/>
              <w:right w:val="single" w:sz="4" w:space="0" w:color="auto"/>
            </w:tcBorders>
            <w:shd w:val="clear" w:color="000000" w:fill="FFFFFF"/>
            <w:noWrap/>
            <w:vAlign w:val="bottom"/>
            <w:hideMark/>
          </w:tcPr>
          <w:p w14:paraId="0F75DEF7"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133 </w:t>
            </w:r>
          </w:p>
        </w:tc>
        <w:tc>
          <w:tcPr>
            <w:tcW w:w="340" w:type="pct"/>
            <w:tcBorders>
              <w:top w:val="nil"/>
              <w:left w:val="nil"/>
              <w:bottom w:val="single" w:sz="4" w:space="0" w:color="auto"/>
              <w:right w:val="single" w:sz="4" w:space="0" w:color="auto"/>
            </w:tcBorders>
            <w:shd w:val="clear" w:color="000000" w:fill="FFFFFF"/>
            <w:noWrap/>
            <w:vAlign w:val="bottom"/>
            <w:hideMark/>
          </w:tcPr>
          <w:p w14:paraId="37F771F6"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96.5%</w:t>
            </w:r>
          </w:p>
        </w:tc>
        <w:tc>
          <w:tcPr>
            <w:tcW w:w="213" w:type="pct"/>
            <w:tcBorders>
              <w:top w:val="nil"/>
              <w:left w:val="nil"/>
              <w:bottom w:val="single" w:sz="4" w:space="0" w:color="auto"/>
              <w:right w:val="single" w:sz="4" w:space="0" w:color="auto"/>
            </w:tcBorders>
            <w:shd w:val="clear" w:color="000000" w:fill="FFFFFF"/>
            <w:noWrap/>
            <w:vAlign w:val="bottom"/>
            <w:hideMark/>
          </w:tcPr>
          <w:p w14:paraId="2ADBC81B"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162 </w:t>
            </w:r>
          </w:p>
        </w:tc>
        <w:tc>
          <w:tcPr>
            <w:tcW w:w="340" w:type="pct"/>
            <w:tcBorders>
              <w:top w:val="nil"/>
              <w:left w:val="nil"/>
              <w:bottom w:val="single" w:sz="4" w:space="0" w:color="auto"/>
              <w:right w:val="single" w:sz="4" w:space="0" w:color="auto"/>
            </w:tcBorders>
            <w:shd w:val="clear" w:color="000000" w:fill="FFFFFF"/>
            <w:noWrap/>
            <w:vAlign w:val="bottom"/>
            <w:hideMark/>
          </w:tcPr>
          <w:p w14:paraId="4C98703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97.2%</w:t>
            </w:r>
          </w:p>
        </w:tc>
        <w:tc>
          <w:tcPr>
            <w:tcW w:w="213" w:type="pct"/>
            <w:tcBorders>
              <w:top w:val="nil"/>
              <w:left w:val="nil"/>
              <w:bottom w:val="single" w:sz="4" w:space="0" w:color="auto"/>
              <w:right w:val="single" w:sz="4" w:space="0" w:color="auto"/>
            </w:tcBorders>
            <w:shd w:val="clear" w:color="000000" w:fill="FFFFFF"/>
            <w:noWrap/>
            <w:vAlign w:val="bottom"/>
            <w:hideMark/>
          </w:tcPr>
          <w:p w14:paraId="0F153DCE"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189 </w:t>
            </w:r>
          </w:p>
        </w:tc>
        <w:tc>
          <w:tcPr>
            <w:tcW w:w="340" w:type="pct"/>
            <w:tcBorders>
              <w:top w:val="nil"/>
              <w:left w:val="nil"/>
              <w:bottom w:val="single" w:sz="4" w:space="0" w:color="auto"/>
              <w:right w:val="single" w:sz="4" w:space="0" w:color="auto"/>
            </w:tcBorders>
            <w:shd w:val="clear" w:color="000000" w:fill="FFFFFF"/>
            <w:noWrap/>
            <w:vAlign w:val="bottom"/>
            <w:hideMark/>
          </w:tcPr>
          <w:p w14:paraId="3CF0C32E"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97.2%</w:t>
            </w:r>
          </w:p>
        </w:tc>
        <w:tc>
          <w:tcPr>
            <w:tcW w:w="213" w:type="pct"/>
            <w:tcBorders>
              <w:top w:val="nil"/>
              <w:left w:val="nil"/>
              <w:bottom w:val="single" w:sz="4" w:space="0" w:color="auto"/>
              <w:right w:val="single" w:sz="4" w:space="0" w:color="auto"/>
            </w:tcBorders>
            <w:shd w:val="clear" w:color="000000" w:fill="FFFFFF"/>
            <w:noWrap/>
            <w:vAlign w:val="bottom"/>
            <w:hideMark/>
          </w:tcPr>
          <w:p w14:paraId="7B7C9027"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217 </w:t>
            </w:r>
          </w:p>
        </w:tc>
        <w:tc>
          <w:tcPr>
            <w:tcW w:w="340" w:type="pct"/>
            <w:tcBorders>
              <w:top w:val="nil"/>
              <w:left w:val="nil"/>
              <w:bottom w:val="single" w:sz="4" w:space="0" w:color="auto"/>
              <w:right w:val="single" w:sz="4" w:space="0" w:color="auto"/>
            </w:tcBorders>
            <w:shd w:val="clear" w:color="000000" w:fill="FFFFFF"/>
            <w:noWrap/>
            <w:vAlign w:val="bottom"/>
            <w:hideMark/>
          </w:tcPr>
          <w:p w14:paraId="74B31D34"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97.7%</w:t>
            </w:r>
          </w:p>
        </w:tc>
        <w:tc>
          <w:tcPr>
            <w:tcW w:w="217" w:type="pct"/>
            <w:tcBorders>
              <w:top w:val="nil"/>
              <w:left w:val="nil"/>
              <w:bottom w:val="single" w:sz="4" w:space="0" w:color="auto"/>
              <w:right w:val="single" w:sz="4" w:space="0" w:color="auto"/>
            </w:tcBorders>
            <w:shd w:val="clear" w:color="000000" w:fill="FFFFFF"/>
            <w:noWrap/>
            <w:vAlign w:val="bottom"/>
            <w:hideMark/>
          </w:tcPr>
          <w:p w14:paraId="1674499B"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245 </w:t>
            </w:r>
          </w:p>
        </w:tc>
        <w:tc>
          <w:tcPr>
            <w:tcW w:w="346" w:type="pct"/>
            <w:tcBorders>
              <w:top w:val="nil"/>
              <w:left w:val="nil"/>
              <w:bottom w:val="single" w:sz="4" w:space="0" w:color="auto"/>
              <w:right w:val="single" w:sz="4" w:space="0" w:color="auto"/>
            </w:tcBorders>
            <w:shd w:val="clear" w:color="000000" w:fill="FFFFFF"/>
            <w:noWrap/>
            <w:vAlign w:val="bottom"/>
            <w:hideMark/>
          </w:tcPr>
          <w:p w14:paraId="0638809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98.0%</w:t>
            </w:r>
          </w:p>
        </w:tc>
        <w:tc>
          <w:tcPr>
            <w:tcW w:w="217" w:type="pct"/>
            <w:tcBorders>
              <w:top w:val="nil"/>
              <w:left w:val="nil"/>
              <w:bottom w:val="single" w:sz="4" w:space="0" w:color="auto"/>
              <w:right w:val="single" w:sz="4" w:space="0" w:color="auto"/>
            </w:tcBorders>
            <w:shd w:val="clear" w:color="000000" w:fill="FFFFFF"/>
            <w:noWrap/>
            <w:vAlign w:val="bottom"/>
            <w:hideMark/>
          </w:tcPr>
          <w:p w14:paraId="40A942E5"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273 </w:t>
            </w:r>
          </w:p>
        </w:tc>
        <w:tc>
          <w:tcPr>
            <w:tcW w:w="346" w:type="pct"/>
            <w:tcBorders>
              <w:top w:val="nil"/>
              <w:left w:val="nil"/>
              <w:bottom w:val="single" w:sz="4" w:space="0" w:color="auto"/>
              <w:right w:val="single" w:sz="8" w:space="0" w:color="auto"/>
            </w:tcBorders>
            <w:shd w:val="clear" w:color="000000" w:fill="FFFFFF"/>
            <w:noWrap/>
            <w:vAlign w:val="bottom"/>
            <w:hideMark/>
          </w:tcPr>
          <w:p w14:paraId="38782D9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98.3%</w:t>
            </w:r>
          </w:p>
        </w:tc>
      </w:tr>
      <w:tr w:rsidR="00563525" w:rsidRPr="00563525" w14:paraId="0D32D110" w14:textId="77777777" w:rsidTr="00FF2017">
        <w:trPr>
          <w:trHeight w:val="44"/>
          <w:jc w:val="center"/>
        </w:trPr>
        <w:tc>
          <w:tcPr>
            <w:tcW w:w="553" w:type="pct"/>
            <w:tcBorders>
              <w:top w:val="single" w:sz="4" w:space="0" w:color="auto"/>
              <w:left w:val="single" w:sz="8" w:space="0" w:color="auto"/>
              <w:bottom w:val="single" w:sz="8" w:space="0" w:color="auto"/>
              <w:right w:val="single" w:sz="4" w:space="0" w:color="auto"/>
            </w:tcBorders>
            <w:shd w:val="clear" w:color="000000" w:fill="FFFFFF"/>
            <w:noWrap/>
            <w:vAlign w:val="center"/>
            <w:hideMark/>
          </w:tcPr>
          <w:p w14:paraId="43D3AFB1"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60</w:t>
            </w:r>
          </w:p>
        </w:tc>
        <w:tc>
          <w:tcPr>
            <w:tcW w:w="213" w:type="pct"/>
            <w:tcBorders>
              <w:top w:val="nil"/>
              <w:left w:val="nil"/>
              <w:bottom w:val="single" w:sz="8" w:space="0" w:color="auto"/>
              <w:right w:val="single" w:sz="4" w:space="0" w:color="auto"/>
            </w:tcBorders>
            <w:shd w:val="clear" w:color="000000" w:fill="FFFFFF"/>
            <w:noWrap/>
            <w:vAlign w:val="bottom"/>
            <w:hideMark/>
          </w:tcPr>
          <w:p w14:paraId="2B07EBF3"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51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69F38A2A"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91.8%</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3F0852A3"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58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3D5707D7"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92.8%</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4ED487AA"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65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4A656650"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94.0%</w:t>
            </w:r>
          </w:p>
        </w:tc>
        <w:tc>
          <w:tcPr>
            <w:tcW w:w="213" w:type="pct"/>
            <w:tcBorders>
              <w:top w:val="nil"/>
              <w:left w:val="nil"/>
              <w:bottom w:val="single" w:sz="8" w:space="0" w:color="auto"/>
              <w:right w:val="single" w:sz="4" w:space="0" w:color="auto"/>
            </w:tcBorders>
            <w:shd w:val="clear" w:color="auto" w:fill="FFE599" w:themeFill="accent4" w:themeFillTint="66"/>
            <w:noWrap/>
            <w:vAlign w:val="bottom"/>
            <w:hideMark/>
          </w:tcPr>
          <w:p w14:paraId="2F12F7EF"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79 </w:t>
            </w:r>
          </w:p>
        </w:tc>
        <w:tc>
          <w:tcPr>
            <w:tcW w:w="340" w:type="pct"/>
            <w:tcBorders>
              <w:top w:val="nil"/>
              <w:left w:val="nil"/>
              <w:bottom w:val="single" w:sz="8" w:space="0" w:color="auto"/>
              <w:right w:val="single" w:sz="4" w:space="0" w:color="auto"/>
            </w:tcBorders>
            <w:shd w:val="clear" w:color="auto" w:fill="FFE599" w:themeFill="accent4" w:themeFillTint="66"/>
            <w:noWrap/>
            <w:vAlign w:val="bottom"/>
            <w:hideMark/>
          </w:tcPr>
          <w:p w14:paraId="05BE62BF"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94.8%</w:t>
            </w:r>
          </w:p>
        </w:tc>
        <w:tc>
          <w:tcPr>
            <w:tcW w:w="213" w:type="pct"/>
            <w:tcBorders>
              <w:top w:val="nil"/>
              <w:left w:val="nil"/>
              <w:bottom w:val="single" w:sz="8" w:space="0" w:color="auto"/>
              <w:right w:val="single" w:sz="4" w:space="0" w:color="auto"/>
            </w:tcBorders>
            <w:shd w:val="clear" w:color="000000" w:fill="FFFFFF"/>
            <w:noWrap/>
            <w:vAlign w:val="bottom"/>
            <w:hideMark/>
          </w:tcPr>
          <w:p w14:paraId="73DEE178"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93 </w:t>
            </w:r>
          </w:p>
        </w:tc>
        <w:tc>
          <w:tcPr>
            <w:tcW w:w="340" w:type="pct"/>
            <w:tcBorders>
              <w:top w:val="nil"/>
              <w:left w:val="nil"/>
              <w:bottom w:val="single" w:sz="8" w:space="0" w:color="auto"/>
              <w:right w:val="single" w:sz="4" w:space="0" w:color="auto"/>
            </w:tcBorders>
            <w:shd w:val="clear" w:color="000000" w:fill="FFFFFF"/>
            <w:noWrap/>
            <w:vAlign w:val="bottom"/>
            <w:hideMark/>
          </w:tcPr>
          <w:p w14:paraId="487CBF9D"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95.7%</w:t>
            </w:r>
          </w:p>
        </w:tc>
        <w:tc>
          <w:tcPr>
            <w:tcW w:w="213" w:type="pct"/>
            <w:tcBorders>
              <w:top w:val="nil"/>
              <w:left w:val="nil"/>
              <w:bottom w:val="single" w:sz="8" w:space="0" w:color="auto"/>
              <w:right w:val="single" w:sz="4" w:space="0" w:color="auto"/>
            </w:tcBorders>
            <w:shd w:val="clear" w:color="000000" w:fill="FFFFFF"/>
            <w:noWrap/>
            <w:vAlign w:val="bottom"/>
            <w:hideMark/>
          </w:tcPr>
          <w:p w14:paraId="74CFD029"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107 </w:t>
            </w:r>
          </w:p>
        </w:tc>
        <w:tc>
          <w:tcPr>
            <w:tcW w:w="340" w:type="pct"/>
            <w:tcBorders>
              <w:top w:val="nil"/>
              <w:left w:val="nil"/>
              <w:bottom w:val="single" w:sz="8" w:space="0" w:color="auto"/>
              <w:right w:val="single" w:sz="4" w:space="0" w:color="auto"/>
            </w:tcBorders>
            <w:shd w:val="clear" w:color="000000" w:fill="FFFFFF"/>
            <w:noWrap/>
            <w:vAlign w:val="bottom"/>
            <w:hideMark/>
          </w:tcPr>
          <w:p w14:paraId="6371A4D6"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96.3%</w:t>
            </w:r>
          </w:p>
        </w:tc>
        <w:tc>
          <w:tcPr>
            <w:tcW w:w="217" w:type="pct"/>
            <w:tcBorders>
              <w:top w:val="nil"/>
              <w:left w:val="nil"/>
              <w:bottom w:val="single" w:sz="8" w:space="0" w:color="auto"/>
              <w:right w:val="single" w:sz="4" w:space="0" w:color="auto"/>
            </w:tcBorders>
            <w:shd w:val="clear" w:color="000000" w:fill="FFFFFF"/>
            <w:noWrap/>
            <w:vAlign w:val="bottom"/>
            <w:hideMark/>
          </w:tcPr>
          <w:p w14:paraId="19CD8DF8"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121 </w:t>
            </w:r>
          </w:p>
        </w:tc>
        <w:tc>
          <w:tcPr>
            <w:tcW w:w="346" w:type="pct"/>
            <w:tcBorders>
              <w:top w:val="nil"/>
              <w:left w:val="nil"/>
              <w:bottom w:val="single" w:sz="8" w:space="0" w:color="auto"/>
              <w:right w:val="single" w:sz="4" w:space="0" w:color="auto"/>
            </w:tcBorders>
            <w:shd w:val="clear" w:color="000000" w:fill="FFFFFF"/>
            <w:noWrap/>
            <w:vAlign w:val="bottom"/>
            <w:hideMark/>
          </w:tcPr>
          <w:p w14:paraId="7DCC2FF7"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96.8%</w:t>
            </w:r>
          </w:p>
        </w:tc>
        <w:tc>
          <w:tcPr>
            <w:tcW w:w="217" w:type="pct"/>
            <w:tcBorders>
              <w:top w:val="nil"/>
              <w:left w:val="nil"/>
              <w:bottom w:val="single" w:sz="8" w:space="0" w:color="auto"/>
              <w:right w:val="single" w:sz="4" w:space="0" w:color="auto"/>
            </w:tcBorders>
            <w:shd w:val="clear" w:color="000000" w:fill="FFFFFF"/>
            <w:noWrap/>
            <w:vAlign w:val="bottom"/>
            <w:hideMark/>
          </w:tcPr>
          <w:p w14:paraId="1D5924DF" w14:textId="77777777" w:rsidR="00563525" w:rsidRPr="00563525" w:rsidRDefault="00563525" w:rsidP="00563525">
            <w:pPr>
              <w:overflowPunct/>
              <w:autoSpaceDE/>
              <w:autoSpaceDN/>
              <w:adjustRightInd/>
              <w:snapToGrid w:val="0"/>
              <w:spacing w:after="0"/>
              <w:jc w:val="center"/>
              <w:textAlignment w:val="auto"/>
              <w:rPr>
                <w:rFonts w:ascii="Calibri" w:hAnsi="Calibri" w:cs="Calibri"/>
                <w:b/>
                <w:bCs/>
                <w:color w:val="000000"/>
                <w:sz w:val="15"/>
                <w:szCs w:val="15"/>
                <w:lang w:val="en-US"/>
              </w:rPr>
            </w:pPr>
            <w:r w:rsidRPr="00563525">
              <w:rPr>
                <w:rFonts w:ascii="Calibri" w:hAnsi="Calibri" w:cs="Calibri"/>
                <w:b/>
                <w:bCs/>
                <w:color w:val="000000"/>
                <w:sz w:val="15"/>
                <w:szCs w:val="15"/>
                <w:lang w:val="en-US"/>
              </w:rPr>
              <w:t xml:space="preserve">135 </w:t>
            </w:r>
          </w:p>
        </w:tc>
        <w:tc>
          <w:tcPr>
            <w:tcW w:w="346" w:type="pct"/>
            <w:tcBorders>
              <w:top w:val="nil"/>
              <w:left w:val="nil"/>
              <w:bottom w:val="single" w:sz="8" w:space="0" w:color="auto"/>
              <w:right w:val="single" w:sz="8" w:space="0" w:color="auto"/>
            </w:tcBorders>
            <w:shd w:val="clear" w:color="000000" w:fill="FFFFFF"/>
            <w:noWrap/>
            <w:vAlign w:val="bottom"/>
            <w:hideMark/>
          </w:tcPr>
          <w:p w14:paraId="7FE84883" w14:textId="77777777" w:rsidR="00563525" w:rsidRPr="00563525" w:rsidRDefault="00563525" w:rsidP="00563525">
            <w:pPr>
              <w:overflowPunct/>
              <w:autoSpaceDE/>
              <w:autoSpaceDN/>
              <w:adjustRightInd/>
              <w:snapToGrid w:val="0"/>
              <w:spacing w:after="0"/>
              <w:jc w:val="center"/>
              <w:textAlignment w:val="auto"/>
              <w:rPr>
                <w:rFonts w:ascii="Calibri" w:hAnsi="Calibri" w:cs="Calibri"/>
                <w:color w:val="000000"/>
                <w:sz w:val="15"/>
                <w:szCs w:val="15"/>
                <w:lang w:val="en-US"/>
              </w:rPr>
            </w:pPr>
            <w:r w:rsidRPr="00563525">
              <w:rPr>
                <w:rFonts w:ascii="Calibri" w:hAnsi="Calibri" w:cs="Calibri"/>
                <w:color w:val="000000"/>
                <w:sz w:val="15"/>
                <w:szCs w:val="15"/>
                <w:lang w:val="en-US"/>
              </w:rPr>
              <w:t>97.2%</w:t>
            </w:r>
          </w:p>
        </w:tc>
      </w:tr>
    </w:tbl>
    <w:p w14:paraId="31FEACB9" w14:textId="0ECD6162" w:rsidR="00302EFF" w:rsidRDefault="00302EFF" w:rsidP="002752CB">
      <w:pPr>
        <w:snapToGrid w:val="0"/>
        <w:spacing w:beforeLines="50" w:before="120" w:after="120" w:line="276" w:lineRule="auto"/>
        <w:jc w:val="both"/>
        <w:rPr>
          <w:lang w:val="en-US"/>
        </w:rPr>
      </w:pPr>
      <w:r w:rsidRPr="00302EFF">
        <w:rPr>
          <w:lang w:val="en-US"/>
        </w:rPr>
        <w:t xml:space="preserve">As shown in the SU table above, spectrum utilization for smaller channel bandwidths remains relatively low compared to larger bandwidths. This is primarily due to implementation constraints, particularly in channel filter design, where </w:t>
      </w:r>
      <w:r>
        <w:rPr>
          <w:lang w:val="en-US"/>
        </w:rPr>
        <w:t xml:space="preserve">appropriate </w:t>
      </w:r>
      <w:r w:rsidRPr="00302EFF">
        <w:rPr>
          <w:lang w:val="en-US"/>
        </w:rPr>
        <w:t xml:space="preserve">guard bands </w:t>
      </w:r>
      <w:r>
        <w:rPr>
          <w:lang w:val="en-US"/>
        </w:rPr>
        <w:t>should be considered</w:t>
      </w:r>
      <w:r w:rsidRPr="00302EFF">
        <w:rPr>
          <w:lang w:val="en-US"/>
        </w:rPr>
        <w:t xml:space="preserve"> to meet spectrum </w:t>
      </w:r>
      <w:r>
        <w:rPr>
          <w:lang w:val="en-US"/>
        </w:rPr>
        <w:t>related requirements</w:t>
      </w:r>
      <w:r w:rsidRPr="00302EFF">
        <w:rPr>
          <w:lang w:val="en-US"/>
        </w:rPr>
        <w:t>. Improving SU in 6GR</w:t>
      </w:r>
      <w:r>
        <w:rPr>
          <w:lang w:val="en-US"/>
        </w:rPr>
        <w:t xml:space="preserve">, </w:t>
      </w:r>
      <w:r w:rsidRPr="00302EFF">
        <w:rPr>
          <w:lang w:val="en-US"/>
        </w:rPr>
        <w:t>especially for smaller channel bandwidths</w:t>
      </w:r>
      <w:r>
        <w:rPr>
          <w:lang w:val="en-US"/>
        </w:rPr>
        <w:t xml:space="preserve">, </w:t>
      </w:r>
      <w:r w:rsidRPr="00302EFF">
        <w:rPr>
          <w:lang w:val="en-US"/>
        </w:rPr>
        <w:t>is critically important, given that low-frequency bands with narrower bandwidths can offer enhanced coverage, which is essential for 6GR deployment.</w:t>
      </w:r>
    </w:p>
    <w:p w14:paraId="4F7874ED" w14:textId="5E2F73FC" w:rsidR="00EF746A" w:rsidRPr="00EF746A" w:rsidRDefault="00EF746A" w:rsidP="00EF746A">
      <w:pPr>
        <w:snapToGrid w:val="0"/>
        <w:spacing w:after="120" w:line="276" w:lineRule="auto"/>
        <w:jc w:val="both"/>
        <w:rPr>
          <w:lang w:val="en-US"/>
        </w:rPr>
      </w:pPr>
      <w:r w:rsidRPr="00EF746A">
        <w:rPr>
          <w:lang w:val="en-US"/>
        </w:rPr>
        <w:t xml:space="preserve">In accordance with the </w:t>
      </w:r>
      <w:r>
        <w:rPr>
          <w:lang w:val="en-US"/>
        </w:rPr>
        <w:t>WF</w:t>
      </w:r>
      <w:r w:rsidRPr="00EF746A">
        <w:rPr>
          <w:lang w:val="en-US"/>
        </w:rPr>
        <w:t xml:space="preserve"> from the last meeting, which states that "</w:t>
      </w:r>
      <w:r w:rsidRPr="00EF746A">
        <w:rPr>
          <w:rFonts w:hint="eastAsia"/>
          <w:szCs w:val="24"/>
        </w:rPr>
        <w:t xml:space="preserve"> </w:t>
      </w:r>
      <w:r>
        <w:rPr>
          <w:szCs w:val="24"/>
        </w:rPr>
        <w:t>c</w:t>
      </w:r>
      <w:r w:rsidRPr="00E350A5">
        <w:rPr>
          <w:szCs w:val="24"/>
        </w:rPr>
        <w:t>hannel bandwidth and SCS with smaller SU should be prioritized</w:t>
      </w:r>
      <w:r w:rsidRPr="00EF746A">
        <w:rPr>
          <w:lang w:val="en-US"/>
        </w:rPr>
        <w:t xml:space="preserve">," we believe it is more appropriate to begin evaluations in FR1. Given the intertwined nature of RF impairment studies with UE RF, a practical approach for early SU investigation is to </w:t>
      </w:r>
      <w:bookmarkStart w:id="5" w:name="_Hlk212403761"/>
      <w:r w:rsidRPr="00EF746A">
        <w:rPr>
          <w:lang w:val="en-US"/>
        </w:rPr>
        <w:t>leverage existing 5G requirements and assumptions, while incorporating advanced spectrum confinement techniques</w:t>
      </w:r>
      <w:bookmarkEnd w:id="5"/>
      <w:r w:rsidRPr="00EF746A">
        <w:rPr>
          <w:lang w:val="en-US"/>
        </w:rPr>
        <w:t xml:space="preserve">. </w:t>
      </w:r>
      <w:bookmarkStart w:id="6" w:name="_Hlk212403685"/>
      <w:r w:rsidRPr="00EF746A">
        <w:rPr>
          <w:lang w:val="en-US"/>
        </w:rPr>
        <w:t>The evaluation assumptions discussed in Section 2.1.2 for waveform analysis may also serve as a basis for initial SU evaluations.</w:t>
      </w:r>
      <w:bookmarkEnd w:id="6"/>
    </w:p>
    <w:p w14:paraId="07CDA436" w14:textId="5B2A88D4" w:rsidR="00EF746A" w:rsidRPr="00302EFF" w:rsidRDefault="00EF746A" w:rsidP="00EF746A">
      <w:pPr>
        <w:snapToGrid w:val="0"/>
        <w:spacing w:after="120" w:line="276" w:lineRule="auto"/>
        <w:jc w:val="both"/>
        <w:rPr>
          <w:lang w:val="en-US"/>
        </w:rPr>
      </w:pPr>
      <w:r w:rsidRPr="00EF746A">
        <w:rPr>
          <w:lang w:val="en-US"/>
        </w:rPr>
        <w:t>Regarding spectrum confinement techniques, as in 5G, no specific implementation is restricted. Both frequency-domain and time-domain methods are permissible, provided that companies clearly declare the techniques used in their evaluations.</w:t>
      </w:r>
    </w:p>
    <w:p w14:paraId="42222C87" w14:textId="3ECB63D4" w:rsidR="00A943A1" w:rsidRDefault="00302EFF" w:rsidP="00302EFF">
      <w:pPr>
        <w:jc w:val="both"/>
        <w:rPr>
          <w:b/>
          <w:bCs/>
          <w:i/>
          <w:iCs/>
          <w:lang w:val="en-US"/>
        </w:rPr>
      </w:pPr>
      <w:r w:rsidRPr="00302EFF">
        <w:rPr>
          <w:b/>
          <w:bCs/>
          <w:i/>
          <w:iCs/>
          <w:lang w:val="en-US"/>
        </w:rPr>
        <w:t>Proposal</w:t>
      </w:r>
      <w:r w:rsidR="00680EED">
        <w:rPr>
          <w:b/>
          <w:bCs/>
          <w:i/>
          <w:iCs/>
          <w:lang w:val="en-US"/>
        </w:rPr>
        <w:t xml:space="preserve"> </w:t>
      </w:r>
      <w:r w:rsidR="00FE5C32">
        <w:rPr>
          <w:b/>
          <w:bCs/>
          <w:i/>
          <w:iCs/>
          <w:lang w:val="en-US"/>
        </w:rPr>
        <w:t>4-1</w:t>
      </w:r>
      <w:r w:rsidRPr="00302EFF">
        <w:rPr>
          <w:b/>
          <w:bCs/>
          <w:i/>
          <w:iCs/>
          <w:lang w:val="en-US"/>
        </w:rPr>
        <w:t xml:space="preserve">: </w:t>
      </w:r>
      <w:r w:rsidR="00EF746A" w:rsidRPr="00EF746A">
        <w:rPr>
          <w:b/>
          <w:bCs/>
          <w:i/>
          <w:iCs/>
          <w:lang w:val="en-US"/>
        </w:rPr>
        <w:t xml:space="preserve">The evaluation assumptions for waveform analysis </w:t>
      </w:r>
      <w:r w:rsidR="00792328">
        <w:rPr>
          <w:b/>
          <w:bCs/>
          <w:i/>
          <w:iCs/>
          <w:lang w:val="en-US"/>
        </w:rPr>
        <w:t>could</w:t>
      </w:r>
      <w:r w:rsidR="00EF746A" w:rsidRPr="00EF746A">
        <w:rPr>
          <w:b/>
          <w:bCs/>
          <w:i/>
          <w:iCs/>
          <w:lang w:val="en-US"/>
        </w:rPr>
        <w:t xml:space="preserve"> also serve as a basis for initial SU evaluations</w:t>
      </w:r>
      <w:r w:rsidR="00792328">
        <w:rPr>
          <w:b/>
          <w:bCs/>
          <w:i/>
          <w:iCs/>
          <w:lang w:val="en-US"/>
        </w:rPr>
        <w:t xml:space="preserve">, </w:t>
      </w:r>
      <w:r w:rsidR="00792328" w:rsidRPr="00792328">
        <w:rPr>
          <w:b/>
          <w:bCs/>
          <w:i/>
          <w:iCs/>
          <w:lang w:val="en-US"/>
        </w:rPr>
        <w:t>leverag</w:t>
      </w:r>
      <w:r w:rsidR="00792328">
        <w:rPr>
          <w:b/>
          <w:bCs/>
          <w:i/>
          <w:iCs/>
          <w:lang w:val="en-US"/>
        </w:rPr>
        <w:t>ing</w:t>
      </w:r>
      <w:r w:rsidR="00792328" w:rsidRPr="00792328">
        <w:rPr>
          <w:b/>
          <w:bCs/>
          <w:i/>
          <w:iCs/>
          <w:lang w:val="en-US"/>
        </w:rPr>
        <w:t xml:space="preserve"> existing 5G requirements and assumptions, while incorporating advanced spectrum confinement techniques</w:t>
      </w:r>
      <w:r w:rsidR="00EF746A" w:rsidRPr="00EF746A">
        <w:rPr>
          <w:b/>
          <w:bCs/>
          <w:i/>
          <w:iCs/>
          <w:lang w:val="en-US"/>
        </w:rPr>
        <w:t>.</w:t>
      </w:r>
    </w:p>
    <w:p w14:paraId="54C426EE" w14:textId="12358DF5" w:rsidR="00792328" w:rsidRDefault="00792328" w:rsidP="00302EFF">
      <w:pPr>
        <w:jc w:val="both"/>
        <w:rPr>
          <w:b/>
          <w:bCs/>
          <w:i/>
          <w:iCs/>
          <w:lang w:val="en-US"/>
        </w:rPr>
      </w:pPr>
      <w:r>
        <w:rPr>
          <w:rFonts w:hint="eastAsia"/>
          <w:b/>
          <w:bCs/>
          <w:i/>
          <w:iCs/>
          <w:lang w:val="en-US"/>
        </w:rPr>
        <w:t>P</w:t>
      </w:r>
      <w:r>
        <w:rPr>
          <w:b/>
          <w:bCs/>
          <w:i/>
          <w:iCs/>
          <w:lang w:val="en-US"/>
        </w:rPr>
        <w:t>roposal</w:t>
      </w:r>
      <w:r w:rsidR="00680EED">
        <w:rPr>
          <w:b/>
          <w:bCs/>
          <w:i/>
          <w:iCs/>
          <w:lang w:val="en-US"/>
        </w:rPr>
        <w:t xml:space="preserve"> </w:t>
      </w:r>
      <w:r w:rsidR="00FE5C32">
        <w:rPr>
          <w:b/>
          <w:bCs/>
          <w:i/>
          <w:iCs/>
          <w:lang w:val="en-US"/>
        </w:rPr>
        <w:t>4-2</w:t>
      </w:r>
      <w:r>
        <w:rPr>
          <w:b/>
          <w:bCs/>
          <w:i/>
          <w:iCs/>
          <w:lang w:val="en-US"/>
        </w:rPr>
        <w:t xml:space="preserve">: No limitation on the adopted spectrum confinement techniques, </w:t>
      </w:r>
      <w:r w:rsidRPr="00792328">
        <w:rPr>
          <w:b/>
          <w:bCs/>
          <w:i/>
          <w:iCs/>
          <w:lang w:val="en-US"/>
        </w:rPr>
        <w:t>provided that companies clearly declare the techniques used in their evaluations</w:t>
      </w:r>
      <w:r>
        <w:rPr>
          <w:b/>
          <w:bCs/>
          <w:i/>
          <w:iCs/>
          <w:lang w:val="en-US"/>
        </w:rPr>
        <w:t>.</w:t>
      </w:r>
    </w:p>
    <w:p w14:paraId="0CB330F2" w14:textId="2ABC6FF4" w:rsidR="009D45A5" w:rsidRDefault="009D45A5" w:rsidP="009D45A5">
      <w:pPr>
        <w:pStyle w:val="3"/>
      </w:pPr>
      <w:r>
        <w:t>Flexible channel bandwidth</w:t>
      </w:r>
    </w:p>
    <w:p w14:paraId="24DF47E6" w14:textId="22E40FDD" w:rsidR="009D45A5" w:rsidRDefault="009D45A5" w:rsidP="009D45A5">
      <w:pPr>
        <w:snapToGrid w:val="0"/>
        <w:spacing w:after="120" w:line="276" w:lineRule="auto"/>
        <w:jc w:val="both"/>
        <w:rPr>
          <w:lang w:val="en-US"/>
        </w:rPr>
      </w:pPr>
      <w:r>
        <w:rPr>
          <w:lang w:val="en-US"/>
        </w:rPr>
        <w:t xml:space="preserve">RAN4 agreement on irregular channel bandwidth </w:t>
      </w:r>
      <w:r w:rsidR="00C46905">
        <w:rPr>
          <w:lang w:val="en-US"/>
        </w:rPr>
        <w:t xml:space="preserve">in #116bis </w:t>
      </w:r>
      <w:r>
        <w:rPr>
          <w:lang w:val="en-US"/>
        </w:rPr>
        <w:t>is excerpted as below.</w:t>
      </w:r>
    </w:p>
    <w:tbl>
      <w:tblPr>
        <w:tblStyle w:val="aff"/>
        <w:tblW w:w="0" w:type="auto"/>
        <w:tblLook w:val="04A0" w:firstRow="1" w:lastRow="0" w:firstColumn="1" w:lastColumn="0" w:noHBand="0" w:noVBand="1"/>
      </w:tblPr>
      <w:tblGrid>
        <w:gridCol w:w="9631"/>
      </w:tblGrid>
      <w:tr w:rsidR="009D45A5" w14:paraId="0A5008D1" w14:textId="77777777" w:rsidTr="009D45A5">
        <w:tc>
          <w:tcPr>
            <w:tcW w:w="0" w:type="auto"/>
            <w:tcBorders>
              <w:top w:val="single" w:sz="4" w:space="0" w:color="auto"/>
              <w:left w:val="single" w:sz="4" w:space="0" w:color="auto"/>
              <w:bottom w:val="single" w:sz="4" w:space="0" w:color="auto"/>
              <w:right w:val="single" w:sz="4" w:space="0" w:color="auto"/>
            </w:tcBorders>
            <w:shd w:val="clear" w:color="auto" w:fill="auto"/>
          </w:tcPr>
          <w:p w14:paraId="24D5FC2D" w14:textId="77777777" w:rsidR="009D45A5" w:rsidRDefault="009D45A5" w:rsidP="003326E0">
            <w:pPr>
              <w:overflowPunct/>
              <w:autoSpaceDE/>
              <w:adjustRightInd/>
              <w:snapToGrid w:val="0"/>
              <w:spacing w:after="0"/>
              <w:ind w:leftChars="39" w:left="78"/>
              <w:rPr>
                <w:szCs w:val="24"/>
                <w:highlight w:val="green"/>
                <w:lang w:val="en-US"/>
              </w:rPr>
            </w:pPr>
            <w:r>
              <w:rPr>
                <w:szCs w:val="24"/>
                <w:highlight w:val="green"/>
                <w:lang w:val="en-US" w:bidi="ar"/>
              </w:rPr>
              <w:t>Agreement</w:t>
            </w:r>
          </w:p>
          <w:p w14:paraId="403817F9" w14:textId="77777777" w:rsidR="009D45A5" w:rsidRDefault="009D45A5" w:rsidP="003326E0">
            <w:pPr>
              <w:widowControl w:val="0"/>
              <w:numPr>
                <w:ilvl w:val="0"/>
                <w:numId w:val="25"/>
              </w:numPr>
              <w:overflowPunct/>
              <w:autoSpaceDE/>
              <w:adjustRightInd/>
              <w:snapToGrid w:val="0"/>
              <w:spacing w:after="0"/>
              <w:ind w:leftChars="29" w:left="418"/>
              <w:jc w:val="both"/>
              <w:textAlignment w:val="auto"/>
              <w:rPr>
                <w:szCs w:val="24"/>
                <w:lang w:val="en-US"/>
              </w:rPr>
            </w:pPr>
            <w:r>
              <w:rPr>
                <w:szCs w:val="24"/>
                <w:lang w:val="en-US" w:bidi="ar"/>
              </w:rPr>
              <w:t>5G concepts from TR 38.844 can be considered as starting point to study a more generic solution for 6G</w:t>
            </w:r>
          </w:p>
          <w:p w14:paraId="42FC8C31" w14:textId="77777777" w:rsidR="009D45A5" w:rsidRDefault="009D45A5" w:rsidP="003326E0">
            <w:pPr>
              <w:widowControl w:val="0"/>
              <w:numPr>
                <w:ilvl w:val="1"/>
                <w:numId w:val="25"/>
              </w:numPr>
              <w:overflowPunct/>
              <w:autoSpaceDE/>
              <w:adjustRightInd/>
              <w:snapToGrid w:val="0"/>
              <w:spacing w:after="0"/>
              <w:jc w:val="both"/>
              <w:textAlignment w:val="auto"/>
              <w:rPr>
                <w:szCs w:val="24"/>
                <w:lang w:val="en-US"/>
              </w:rPr>
            </w:pPr>
            <w:r>
              <w:rPr>
                <w:szCs w:val="24"/>
                <w:lang w:val="en-US" w:bidi="ar"/>
              </w:rPr>
              <w:t>The listed main proposals and identified issues should be taken into account for the following study of irregular/flexible/scalable channel bandwidths</w:t>
            </w:r>
          </w:p>
          <w:p w14:paraId="6D845F7C" w14:textId="49F061B6" w:rsidR="009D45A5" w:rsidRPr="009D45A5" w:rsidRDefault="009D45A5" w:rsidP="003326E0">
            <w:pPr>
              <w:widowControl w:val="0"/>
              <w:numPr>
                <w:ilvl w:val="1"/>
                <w:numId w:val="25"/>
              </w:numPr>
              <w:overflowPunct/>
              <w:autoSpaceDE/>
              <w:adjustRightInd/>
              <w:snapToGrid w:val="0"/>
              <w:spacing w:after="0"/>
              <w:jc w:val="both"/>
              <w:textAlignment w:val="auto"/>
              <w:rPr>
                <w:szCs w:val="24"/>
              </w:rPr>
            </w:pPr>
            <w:r>
              <w:rPr>
                <w:szCs w:val="24"/>
                <w:lang w:val="en-US" w:bidi="ar"/>
              </w:rPr>
              <w:t>Other options not presented in this meeting are not precluded</w:t>
            </w:r>
          </w:p>
        </w:tc>
      </w:tr>
    </w:tbl>
    <w:p w14:paraId="3B6EFBA3" w14:textId="77777777" w:rsidR="009D45A5" w:rsidRDefault="009D45A5" w:rsidP="009D45A5">
      <w:pPr>
        <w:snapToGrid w:val="0"/>
        <w:spacing w:after="120" w:line="276" w:lineRule="auto"/>
        <w:ind w:left="420"/>
        <w:jc w:val="both"/>
        <w:rPr>
          <w:lang w:val="en-US"/>
        </w:rPr>
      </w:pPr>
    </w:p>
    <w:p w14:paraId="2BB88185" w14:textId="77777777" w:rsidR="009D45A5" w:rsidRPr="009D45A5" w:rsidRDefault="009D45A5" w:rsidP="009D45A5">
      <w:pPr>
        <w:snapToGrid w:val="0"/>
        <w:spacing w:after="120" w:line="276" w:lineRule="auto"/>
        <w:jc w:val="both"/>
        <w:rPr>
          <w:lang w:val="en-US"/>
        </w:rPr>
      </w:pPr>
      <w:r w:rsidRPr="009D45A5">
        <w:rPr>
          <w:lang w:val="en-US"/>
        </w:rPr>
        <w:t xml:space="preserve">In existing LTE/NR specification, a fixed set of regular channel bandwidths are defined, </w:t>
      </w:r>
      <w:proofErr w:type="gramStart"/>
      <w:r w:rsidRPr="009D45A5">
        <w:rPr>
          <w:lang w:val="en-US"/>
        </w:rPr>
        <w:t>e.g.</w:t>
      </w:r>
      <w:proofErr w:type="gramEnd"/>
      <w:r w:rsidRPr="009D45A5">
        <w:rPr>
          <w:lang w:val="en-US"/>
        </w:rPr>
        <w:t xml:space="preserve"> to fulfil the operator’s request.</w:t>
      </w:r>
    </w:p>
    <w:p w14:paraId="604D94F8" w14:textId="77777777" w:rsidR="009D45A5" w:rsidRDefault="009D45A5" w:rsidP="009D45A5">
      <w:pPr>
        <w:snapToGrid w:val="0"/>
        <w:spacing w:after="120" w:line="276" w:lineRule="auto"/>
        <w:jc w:val="both"/>
        <w:rPr>
          <w:lang w:val="en-US"/>
        </w:rPr>
      </w:pPr>
      <w:r>
        <w:rPr>
          <w:lang w:val="en-US"/>
        </w:rPr>
        <w:t>FR1: {3 MHz, 5 MHz, 6 MHz, 7 MHz, 10 MHz, 15 MHz, 20 MHz, 25 MHz, 30 MHz, 35 MHz, 40 MHz, 45 MHz, 50 MHz, 60 MHz, 70 MHz, 80 MHz, 90 MHz, 100 MHz}</w:t>
      </w:r>
    </w:p>
    <w:p w14:paraId="1B58DD24" w14:textId="77777777" w:rsidR="009D45A5" w:rsidRDefault="009D45A5" w:rsidP="009D45A5">
      <w:pPr>
        <w:snapToGrid w:val="0"/>
        <w:spacing w:after="0" w:line="276" w:lineRule="auto"/>
        <w:jc w:val="both"/>
        <w:rPr>
          <w:lang w:val="en-US"/>
        </w:rPr>
      </w:pPr>
      <w:r>
        <w:rPr>
          <w:lang w:val="en-US"/>
        </w:rPr>
        <w:t>The number of channel bandwidths is already 18 for NR FR1. And it is expected that 6G would introduce wider channel bandwidth larger than 100 MHz. The granularity for regular channel bandwidth for larger than 100 MHz is to be discussed. The number would be increased significant if small granularity is defined as below 100 MHz. Too many bandwidth types increase the design and test/verification workload and implementation complexity for UE implementation. Hence from the UE implementation and test coverage perspective, only a finite set of channel bandwidth would be possible. If a generic approach can be adopted to handle the irregular channel bandwidth in 6G, it could help to reduce the number of channel bandwidths which would be benefit for the UE design and test effort. It is proposed to study the possibility to reduce the number of regular channel bandwidths.</w:t>
      </w:r>
    </w:p>
    <w:p w14:paraId="3B2868E6" w14:textId="450C5711" w:rsidR="009D45A5" w:rsidRPr="009D45A5" w:rsidRDefault="009D45A5" w:rsidP="009D45A5">
      <w:pPr>
        <w:pStyle w:val="ae"/>
        <w:snapToGrid w:val="0"/>
        <w:spacing w:after="0"/>
        <w:jc w:val="both"/>
        <w:rPr>
          <w:i/>
        </w:rPr>
      </w:pPr>
      <w:r w:rsidRPr="009D45A5">
        <w:rPr>
          <w:i/>
        </w:rPr>
        <w:t>Observation</w:t>
      </w:r>
      <w:r>
        <w:rPr>
          <w:i/>
        </w:rPr>
        <w:t xml:space="preserve"> </w:t>
      </w:r>
      <w:r w:rsidR="00FE5C32">
        <w:rPr>
          <w:i/>
        </w:rPr>
        <w:t>5-1</w:t>
      </w:r>
      <w:r w:rsidRPr="009D45A5">
        <w:rPr>
          <w:i/>
        </w:rPr>
        <w:t xml:space="preserve">: </w:t>
      </w:r>
      <w:r w:rsidRPr="009D45A5">
        <w:rPr>
          <w:b w:val="0"/>
          <w:bCs/>
          <w:i/>
        </w:rPr>
        <w:t>A generic approach to handle irregular channel bandwidth may help to reduce the number of regular channel bandwidths be supported for 6G UE.</w:t>
      </w:r>
    </w:p>
    <w:p w14:paraId="5E7584A6" w14:textId="66D21C85" w:rsidR="009D45A5" w:rsidRPr="009D45A5" w:rsidRDefault="009D45A5" w:rsidP="009D45A5">
      <w:pPr>
        <w:pStyle w:val="ae"/>
        <w:snapToGrid w:val="0"/>
        <w:jc w:val="both"/>
        <w:rPr>
          <w:i/>
        </w:rPr>
      </w:pPr>
      <w:r w:rsidRPr="009D45A5">
        <w:rPr>
          <w:i/>
        </w:rPr>
        <w:t>Proposal</w:t>
      </w:r>
      <w:r>
        <w:rPr>
          <w:i/>
        </w:rPr>
        <w:t xml:space="preserve"> </w:t>
      </w:r>
      <w:r w:rsidR="00FE5C32">
        <w:rPr>
          <w:i/>
        </w:rPr>
        <w:t>5-1</w:t>
      </w:r>
      <w:r w:rsidRPr="009D45A5">
        <w:rPr>
          <w:i/>
        </w:rPr>
        <w:t>: It is proposed to study a generic solution with the goal of reducing the number of regular channel bandwidths</w:t>
      </w:r>
      <w:r>
        <w:rPr>
          <w:i/>
        </w:rPr>
        <w:t>.</w:t>
      </w:r>
    </w:p>
    <w:p w14:paraId="5D6EC73E" w14:textId="77777777" w:rsidR="009D45A5" w:rsidRDefault="009D45A5" w:rsidP="009D45A5">
      <w:pPr>
        <w:snapToGrid w:val="0"/>
        <w:spacing w:after="120" w:line="276" w:lineRule="auto"/>
        <w:jc w:val="both"/>
        <w:rPr>
          <w:lang w:val="en-US"/>
        </w:rPr>
      </w:pPr>
      <w:r>
        <w:rPr>
          <w:lang w:val="en-US" w:bidi="ar"/>
        </w:rPr>
        <w:t xml:space="preserve">And among these schemes discussed in TR 38.844, overlapping UE CBW and larger CBW has less impact to UE complexity, however, the UE throughput is limited to legacy CBW in UL or both DL and UL, which need more study for </w:t>
      </w:r>
      <w:r>
        <w:rPr>
          <w:lang w:val="en-US" w:bidi="ar"/>
        </w:rPr>
        <w:lastRenderedPageBreak/>
        <w:t>6G. For larger CBW scheme in TR 38.844, it is only applicable to DL and new asymmetric bandwidth combinations for UE are needed. In our view for 6G we should study whether/how larger CBW scheme can apply to UL and avoid to introduction of asymmetric bandwidth combinations.</w:t>
      </w:r>
    </w:p>
    <w:p w14:paraId="553D129C" w14:textId="391D5DC7" w:rsidR="009D45A5" w:rsidRDefault="009D45A5" w:rsidP="009D45A5">
      <w:pPr>
        <w:jc w:val="both"/>
        <w:rPr>
          <w:lang w:val="en-US" w:bidi="ar"/>
        </w:rPr>
      </w:pPr>
      <w:r>
        <w:rPr>
          <w:lang w:val="en-US" w:bidi="ar"/>
        </w:rPr>
        <w:t xml:space="preserve">And for the overall generic solution, we can consider to define a finite set of channel bandwidths in the specification, and for other channel bandwidth in between two standard channel bandwidths </w:t>
      </w:r>
      <w:proofErr w:type="gramStart"/>
      <w:r>
        <w:rPr>
          <w:lang w:val="en-US" w:bidi="ar"/>
        </w:rPr>
        <w:t>is</w:t>
      </w:r>
      <w:proofErr w:type="gramEnd"/>
      <w:r>
        <w:rPr>
          <w:lang w:val="en-US" w:bidi="ar"/>
        </w:rPr>
        <w:t xml:space="preserve"> supported by scalable bandwidth. BS RF requirements are based on corresponding channel bandwidth filter is implemented, and UE additional RF requirements if needed are based on next wider channel bandwidth.</w:t>
      </w:r>
    </w:p>
    <w:p w14:paraId="1F7CCD93" w14:textId="77777777" w:rsidR="009D45A5" w:rsidRDefault="009D45A5" w:rsidP="009D45A5">
      <w:pPr>
        <w:spacing w:after="0"/>
        <w:jc w:val="both"/>
        <w:rPr>
          <w:lang w:val="en-US" w:bidi="ar"/>
        </w:rPr>
      </w:pPr>
      <w:r>
        <w:rPr>
          <w:lang w:val="en-US" w:bidi="ar"/>
        </w:rPr>
        <w:t>On BS side, the channel bandwidth set is declared by the vendors, hence it would be acceptable to support the additional irregular channel bandwidth for the specific band and operator’s spectrum holding. In general, for the RF requirement definition, we should aim to define the RAN4 requirements as many as possible in a BW independent/scalable manner. And on UE side, only regular channel bandwidth set is defined.</w:t>
      </w:r>
    </w:p>
    <w:p w14:paraId="36A368C5" w14:textId="1EF079F4" w:rsidR="009D45A5" w:rsidRPr="009D45A5" w:rsidRDefault="009D45A5" w:rsidP="009D45A5">
      <w:pPr>
        <w:pStyle w:val="ae"/>
        <w:snapToGrid w:val="0"/>
        <w:jc w:val="both"/>
        <w:rPr>
          <w:i/>
        </w:rPr>
      </w:pPr>
      <w:r w:rsidRPr="009D45A5">
        <w:rPr>
          <w:i/>
        </w:rPr>
        <w:t>Proposal</w:t>
      </w:r>
      <w:r>
        <w:rPr>
          <w:i/>
        </w:rPr>
        <w:t xml:space="preserve"> </w:t>
      </w:r>
      <w:r w:rsidR="00FE5C32">
        <w:rPr>
          <w:i/>
        </w:rPr>
        <w:t>5-2</w:t>
      </w:r>
      <w:r w:rsidRPr="009D45A5">
        <w:rPr>
          <w:i/>
        </w:rPr>
        <w:t>: it is proposed to study whether/how larger CBW scheme can apply to UL and avoid to introduction of asymmetric bandwidth combinations.</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1859B79D" w:rsidR="00FC30F5" w:rsidRDefault="005369EE" w:rsidP="006272FF">
      <w:pPr>
        <w:jc w:val="both"/>
      </w:pPr>
      <w:r>
        <w:t xml:space="preserve">This contribution provides </w:t>
      </w:r>
      <w:r w:rsidR="00747459">
        <w:t>our consideration on system parameters for 6G.</w:t>
      </w:r>
    </w:p>
    <w:p w14:paraId="19497B38" w14:textId="27BF5EC4" w:rsidR="00D106D6" w:rsidRPr="00B102EE" w:rsidRDefault="00903DFB" w:rsidP="009D45A5">
      <w:pPr>
        <w:spacing w:after="0"/>
        <w:jc w:val="both"/>
        <w:rPr>
          <w:b/>
          <w:i/>
          <w:u w:val="single"/>
          <w:lang w:val="en-US" w:eastAsia="en-US"/>
        </w:rPr>
      </w:pPr>
      <w:r>
        <w:rPr>
          <w:b/>
          <w:i/>
          <w:highlight w:val="lightGray"/>
          <w:u w:val="single"/>
          <w:lang w:val="en-US"/>
        </w:rPr>
        <w:t>Maximum channel bandwidth</w:t>
      </w:r>
    </w:p>
    <w:p w14:paraId="7CDF2E7D" w14:textId="6E281D83" w:rsidR="00680EED" w:rsidRDefault="00680EED" w:rsidP="00FE5C32">
      <w:pPr>
        <w:spacing w:beforeLines="50" w:before="120"/>
        <w:jc w:val="both"/>
        <w:rPr>
          <w:b/>
          <w:i/>
          <w:lang w:val="en-US"/>
        </w:rPr>
      </w:pPr>
      <w:r>
        <w:rPr>
          <w:b/>
          <w:i/>
          <w:lang w:val="en-US"/>
        </w:rPr>
        <w:t xml:space="preserve">Proposal </w:t>
      </w:r>
      <w:r w:rsidR="00FE5C32">
        <w:rPr>
          <w:b/>
          <w:i/>
          <w:lang w:val="en-US"/>
        </w:rPr>
        <w:t>1-1</w:t>
      </w:r>
      <w:r>
        <w:rPr>
          <w:b/>
          <w:i/>
          <w:lang w:val="en-US"/>
        </w:rPr>
        <w:t xml:space="preserve">: </w:t>
      </w:r>
      <w:r w:rsidR="00FE5C32">
        <w:rPr>
          <w:b/>
          <w:i/>
          <w:lang w:val="en-US"/>
        </w:rPr>
        <w:t>If a single FFT size is considered as a baseline, other FFT size(s) are not precluded</w:t>
      </w:r>
      <w:r w:rsidR="008B47CF">
        <w:rPr>
          <w:b/>
          <w:i/>
          <w:lang w:val="en-US"/>
        </w:rPr>
        <w:t xml:space="preserve"> just</w:t>
      </w:r>
      <w:r w:rsidR="00FE5C32">
        <w:rPr>
          <w:b/>
          <w:i/>
          <w:lang w:val="en-US"/>
        </w:rPr>
        <w:t xml:space="preserve"> as implementation choice considering the wide frequency range.</w:t>
      </w:r>
      <w:r w:rsidR="00107636">
        <w:rPr>
          <w:b/>
          <w:i/>
          <w:lang w:val="en-US"/>
        </w:rPr>
        <w:t xml:space="preserve"> </w:t>
      </w:r>
      <w:r w:rsidR="00107636" w:rsidRPr="00350367">
        <w:rPr>
          <w:b/>
          <w:i/>
          <w:lang w:val="en-US"/>
        </w:rPr>
        <w:t>Consider FFT size, maximum Channel Bandwidth and numerology as a framework to have feasibility study from implementation perspective</w:t>
      </w:r>
      <w:r w:rsidR="00107636">
        <w:rPr>
          <w:b/>
          <w:i/>
          <w:lang w:val="en-US"/>
        </w:rPr>
        <w:t>.</w:t>
      </w:r>
    </w:p>
    <w:p w14:paraId="56FE899F" w14:textId="63457E2F" w:rsidR="00D106D6" w:rsidRPr="00680EED" w:rsidRDefault="00680EED" w:rsidP="00D106D6">
      <w:pPr>
        <w:jc w:val="both"/>
        <w:rPr>
          <w:b/>
          <w:bCs/>
          <w:i/>
          <w:iCs/>
          <w:lang w:val="en-US"/>
        </w:rPr>
      </w:pPr>
      <w:r>
        <w:rPr>
          <w:b/>
          <w:i/>
          <w:lang w:val="en-US"/>
        </w:rPr>
        <w:t xml:space="preserve">Proposal </w:t>
      </w:r>
      <w:r w:rsidR="00FE5C32">
        <w:rPr>
          <w:b/>
          <w:i/>
          <w:lang w:val="en-US"/>
        </w:rPr>
        <w:t>1-2</w:t>
      </w:r>
      <w:r>
        <w:rPr>
          <w:b/>
          <w:i/>
          <w:lang w:val="en-US"/>
        </w:rPr>
        <w:t xml:space="preserve">: </w:t>
      </w:r>
      <w:r w:rsidRPr="004445A4">
        <w:rPr>
          <w:b/>
          <w:i/>
          <w:lang w:val="en-US"/>
        </w:rPr>
        <w:t>RAN4 should conduct quantitative comparisons of implementation options, assessing their RF performance and architectural trade-offs, to support a joint conclusion on the maximum channel bandwidth.</w:t>
      </w:r>
    </w:p>
    <w:p w14:paraId="5DBECA3B" w14:textId="5BD75531" w:rsidR="00903DFB" w:rsidRPr="00B102EE" w:rsidRDefault="00903DFB" w:rsidP="00903DFB">
      <w:pPr>
        <w:jc w:val="both"/>
        <w:rPr>
          <w:b/>
          <w:i/>
          <w:u w:val="single"/>
          <w:lang w:val="en-US" w:eastAsia="en-US"/>
        </w:rPr>
      </w:pPr>
      <w:r>
        <w:rPr>
          <w:b/>
          <w:i/>
          <w:highlight w:val="lightGray"/>
          <w:u w:val="single"/>
          <w:lang w:val="en-US"/>
        </w:rPr>
        <w:t>Minimum channel bandwidth</w:t>
      </w:r>
    </w:p>
    <w:p w14:paraId="2C4A7BFB" w14:textId="2545F3F4" w:rsidR="00D106D6" w:rsidRPr="00057755" w:rsidRDefault="00FE5C32" w:rsidP="00D106D6">
      <w:pPr>
        <w:jc w:val="both"/>
        <w:rPr>
          <w:b/>
          <w:i/>
          <w:iCs/>
        </w:rPr>
      </w:pPr>
      <w:r w:rsidRPr="00100384">
        <w:rPr>
          <w:b/>
          <w:bCs/>
          <w:i/>
          <w:iCs/>
        </w:rPr>
        <w:t>Proposal</w:t>
      </w:r>
      <w:r>
        <w:rPr>
          <w:b/>
          <w:bCs/>
          <w:i/>
          <w:iCs/>
        </w:rPr>
        <w:t xml:space="preserve"> 2-1</w:t>
      </w:r>
      <w:r w:rsidRPr="00100384">
        <w:rPr>
          <w:b/>
          <w:bCs/>
          <w:i/>
          <w:iCs/>
        </w:rPr>
        <w:t>: Decouple the minimum channel bandwidth defined for specific spectrum/operating bands from the minimum channel bandwidth required for initial access. The latter should be determined by RAN1 as part of the initial access design.</w:t>
      </w:r>
    </w:p>
    <w:p w14:paraId="25E34917" w14:textId="0ED3DBDD" w:rsidR="00D106D6" w:rsidRPr="00B102EE" w:rsidRDefault="00903DFB" w:rsidP="00D106D6">
      <w:pPr>
        <w:jc w:val="both"/>
        <w:rPr>
          <w:b/>
          <w:i/>
          <w:u w:val="single"/>
          <w:lang w:val="en-US" w:eastAsia="en-US"/>
        </w:rPr>
      </w:pPr>
      <w:r>
        <w:rPr>
          <w:b/>
          <w:i/>
          <w:highlight w:val="lightGray"/>
          <w:u w:val="single"/>
          <w:lang w:val="en-US"/>
        </w:rPr>
        <w:t>Numerology</w:t>
      </w:r>
    </w:p>
    <w:p w14:paraId="7F2EFA70" w14:textId="49A7429F" w:rsidR="00D106D6" w:rsidRDefault="00FE5C32" w:rsidP="00EC6F3A">
      <w:pPr>
        <w:pStyle w:val="af6"/>
        <w:spacing w:after="0"/>
        <w:jc w:val="both"/>
        <w:rPr>
          <w:b/>
          <w:bCs/>
          <w:i/>
          <w:iCs/>
          <w:lang w:val="en-US"/>
        </w:rPr>
      </w:pPr>
      <w:r w:rsidRPr="00302EFF">
        <w:rPr>
          <w:b/>
          <w:bCs/>
          <w:i/>
          <w:iCs/>
          <w:lang w:val="en-US"/>
        </w:rPr>
        <w:t>Proposal</w:t>
      </w:r>
      <w:r>
        <w:rPr>
          <w:b/>
          <w:bCs/>
          <w:i/>
          <w:iCs/>
          <w:lang w:val="en-US"/>
        </w:rPr>
        <w:t xml:space="preserve"> 3-1</w:t>
      </w:r>
      <w:r w:rsidRPr="00302EFF">
        <w:rPr>
          <w:b/>
          <w:bCs/>
          <w:i/>
          <w:iCs/>
          <w:lang w:val="en-US"/>
        </w:rPr>
        <w:t xml:space="preserve">: </w:t>
      </w:r>
      <w:r w:rsidRPr="00FE7646">
        <w:rPr>
          <w:b/>
          <w:bCs/>
          <w:i/>
          <w:iCs/>
          <w:lang w:val="en-US"/>
        </w:rPr>
        <w:t>Single numerology</w:t>
      </w:r>
      <w:r>
        <w:rPr>
          <w:b/>
          <w:bCs/>
          <w:i/>
          <w:iCs/>
          <w:lang w:val="en-US"/>
        </w:rPr>
        <w:t xml:space="preserve"> is considered </w:t>
      </w:r>
      <w:r w:rsidRPr="00CF1682">
        <w:rPr>
          <w:b/>
          <w:bCs/>
          <w:i/>
          <w:iCs/>
          <w:strike/>
          <w:lang w:val="en-US"/>
        </w:rPr>
        <w:t>as starting point</w:t>
      </w:r>
      <w:r>
        <w:rPr>
          <w:b/>
          <w:bCs/>
          <w:i/>
          <w:iCs/>
          <w:lang w:val="en-US"/>
        </w:rPr>
        <w:t xml:space="preserve"> for 6G</w:t>
      </w:r>
      <w:r w:rsidRPr="003D3002">
        <w:rPr>
          <w:b/>
          <w:bCs/>
          <w:i/>
          <w:iCs/>
          <w:lang w:val="en-US"/>
        </w:rPr>
        <w:t>.</w:t>
      </w:r>
    </w:p>
    <w:p w14:paraId="30B3A701" w14:textId="0599A54B" w:rsidR="00EC6F3A" w:rsidRDefault="00EC6F3A" w:rsidP="00EC6F3A">
      <w:pPr>
        <w:pStyle w:val="af6"/>
        <w:numPr>
          <w:ilvl w:val="0"/>
          <w:numId w:val="26"/>
        </w:numPr>
        <w:spacing w:after="0"/>
        <w:jc w:val="both"/>
        <w:rPr>
          <w:b/>
          <w:bCs/>
          <w:i/>
          <w:iCs/>
          <w:lang w:val="en-US"/>
        </w:rPr>
      </w:pPr>
      <w:r>
        <w:rPr>
          <w:rFonts w:hint="eastAsia"/>
          <w:b/>
          <w:bCs/>
          <w:i/>
          <w:iCs/>
          <w:lang w:val="en-US"/>
        </w:rPr>
        <w:t>S</w:t>
      </w:r>
      <w:r>
        <w:rPr>
          <w:b/>
          <w:bCs/>
          <w:i/>
          <w:iCs/>
          <w:lang w:val="en-US"/>
        </w:rPr>
        <w:t>ingle SCS for each band</w:t>
      </w:r>
    </w:p>
    <w:p w14:paraId="7266EF6E" w14:textId="32241B8F" w:rsidR="00EC6F3A" w:rsidRDefault="00EC6F3A" w:rsidP="00EC6F3A">
      <w:pPr>
        <w:pStyle w:val="af6"/>
        <w:numPr>
          <w:ilvl w:val="1"/>
          <w:numId w:val="26"/>
        </w:numPr>
        <w:spacing w:after="0"/>
        <w:jc w:val="both"/>
        <w:rPr>
          <w:b/>
          <w:bCs/>
          <w:i/>
          <w:iCs/>
          <w:lang w:val="en-US"/>
        </w:rPr>
      </w:pPr>
      <w:r>
        <w:rPr>
          <w:rFonts w:hint="eastAsia"/>
          <w:b/>
          <w:bCs/>
          <w:i/>
          <w:iCs/>
          <w:lang w:val="en-US"/>
        </w:rPr>
        <w:t>1</w:t>
      </w:r>
      <w:r>
        <w:rPr>
          <w:b/>
          <w:bCs/>
          <w:i/>
          <w:iCs/>
          <w:lang w:val="en-US"/>
        </w:rPr>
        <w:t>5kHz for FDD bands</w:t>
      </w:r>
    </w:p>
    <w:p w14:paraId="2E421D62" w14:textId="6DCD5DAD" w:rsidR="00EC6F3A" w:rsidRDefault="00EC6F3A" w:rsidP="00EC6F3A">
      <w:pPr>
        <w:pStyle w:val="af6"/>
        <w:numPr>
          <w:ilvl w:val="1"/>
          <w:numId w:val="26"/>
        </w:numPr>
        <w:spacing w:after="0"/>
        <w:jc w:val="both"/>
        <w:rPr>
          <w:b/>
          <w:bCs/>
          <w:i/>
          <w:iCs/>
          <w:lang w:val="en-US"/>
        </w:rPr>
      </w:pPr>
      <w:r>
        <w:rPr>
          <w:rFonts w:hint="eastAsia"/>
          <w:b/>
          <w:bCs/>
          <w:i/>
          <w:iCs/>
          <w:lang w:val="en-US"/>
        </w:rPr>
        <w:t>3</w:t>
      </w:r>
      <w:r>
        <w:rPr>
          <w:b/>
          <w:bCs/>
          <w:i/>
          <w:iCs/>
          <w:lang w:val="en-US"/>
        </w:rPr>
        <w:t>0kHz for TDD bands</w:t>
      </w:r>
    </w:p>
    <w:p w14:paraId="57363ACC" w14:textId="437477F5" w:rsidR="00EC6F3A" w:rsidRPr="00EC6F3A" w:rsidRDefault="00EC6F3A" w:rsidP="00EC6F3A">
      <w:pPr>
        <w:pStyle w:val="af6"/>
        <w:numPr>
          <w:ilvl w:val="0"/>
          <w:numId w:val="26"/>
        </w:numPr>
        <w:jc w:val="both"/>
        <w:rPr>
          <w:b/>
          <w:bCs/>
          <w:i/>
          <w:iCs/>
          <w:lang w:val="en-US"/>
        </w:rPr>
      </w:pPr>
      <w:r>
        <w:rPr>
          <w:rFonts w:hint="eastAsia"/>
          <w:b/>
          <w:bCs/>
          <w:i/>
          <w:iCs/>
          <w:lang w:val="en-US"/>
        </w:rPr>
        <w:t>S</w:t>
      </w:r>
      <w:r>
        <w:rPr>
          <w:b/>
          <w:bCs/>
          <w:i/>
          <w:iCs/>
          <w:lang w:val="en-US"/>
        </w:rPr>
        <w:t>ingle SCS for both data and SSB</w:t>
      </w:r>
    </w:p>
    <w:p w14:paraId="56E6BB3A" w14:textId="0505A5FB" w:rsidR="00D106D6" w:rsidRPr="00B102EE" w:rsidRDefault="00903DFB" w:rsidP="00D106D6">
      <w:pPr>
        <w:jc w:val="both"/>
        <w:rPr>
          <w:b/>
          <w:i/>
          <w:u w:val="single"/>
          <w:lang w:val="en-US" w:eastAsia="en-US"/>
        </w:rPr>
      </w:pPr>
      <w:r>
        <w:rPr>
          <w:b/>
          <w:i/>
          <w:highlight w:val="lightGray"/>
          <w:u w:val="single"/>
          <w:lang w:val="en-US"/>
        </w:rPr>
        <w:t>Spectrum utilization</w:t>
      </w:r>
    </w:p>
    <w:p w14:paraId="50AD056C" w14:textId="77777777" w:rsidR="00FE5C32" w:rsidRDefault="00FE5C32" w:rsidP="00FE5C32">
      <w:pPr>
        <w:jc w:val="both"/>
        <w:rPr>
          <w:b/>
          <w:bCs/>
          <w:i/>
          <w:iCs/>
          <w:lang w:val="en-US"/>
        </w:rPr>
      </w:pPr>
      <w:r w:rsidRPr="00302EFF">
        <w:rPr>
          <w:b/>
          <w:bCs/>
          <w:i/>
          <w:iCs/>
          <w:lang w:val="en-US"/>
        </w:rPr>
        <w:t>Proposal</w:t>
      </w:r>
      <w:r>
        <w:rPr>
          <w:b/>
          <w:bCs/>
          <w:i/>
          <w:iCs/>
          <w:lang w:val="en-US"/>
        </w:rPr>
        <w:t xml:space="preserve"> 4-1</w:t>
      </w:r>
      <w:r w:rsidRPr="00302EFF">
        <w:rPr>
          <w:b/>
          <w:bCs/>
          <w:i/>
          <w:iCs/>
          <w:lang w:val="en-US"/>
        </w:rPr>
        <w:t xml:space="preserve">: </w:t>
      </w:r>
      <w:r w:rsidRPr="00EF746A">
        <w:rPr>
          <w:b/>
          <w:bCs/>
          <w:i/>
          <w:iCs/>
          <w:lang w:val="en-US"/>
        </w:rPr>
        <w:t xml:space="preserve">The evaluation assumptions for waveform analysis </w:t>
      </w:r>
      <w:r>
        <w:rPr>
          <w:b/>
          <w:bCs/>
          <w:i/>
          <w:iCs/>
          <w:lang w:val="en-US"/>
        </w:rPr>
        <w:t>could</w:t>
      </w:r>
      <w:r w:rsidRPr="00EF746A">
        <w:rPr>
          <w:b/>
          <w:bCs/>
          <w:i/>
          <w:iCs/>
          <w:lang w:val="en-US"/>
        </w:rPr>
        <w:t xml:space="preserve"> also serve as a basis for initial SU evaluations</w:t>
      </w:r>
      <w:r>
        <w:rPr>
          <w:b/>
          <w:bCs/>
          <w:i/>
          <w:iCs/>
          <w:lang w:val="en-US"/>
        </w:rPr>
        <w:t xml:space="preserve">, </w:t>
      </w:r>
      <w:r w:rsidRPr="00792328">
        <w:rPr>
          <w:b/>
          <w:bCs/>
          <w:i/>
          <w:iCs/>
          <w:lang w:val="en-US"/>
        </w:rPr>
        <w:t>leverag</w:t>
      </w:r>
      <w:r>
        <w:rPr>
          <w:b/>
          <w:bCs/>
          <w:i/>
          <w:iCs/>
          <w:lang w:val="en-US"/>
        </w:rPr>
        <w:t>ing</w:t>
      </w:r>
      <w:r w:rsidRPr="00792328">
        <w:rPr>
          <w:b/>
          <w:bCs/>
          <w:i/>
          <w:iCs/>
          <w:lang w:val="en-US"/>
        </w:rPr>
        <w:t xml:space="preserve"> existing 5G requirements and assumptions, while incorporating advanced spectrum confinement techniques</w:t>
      </w:r>
      <w:r w:rsidRPr="00EF746A">
        <w:rPr>
          <w:b/>
          <w:bCs/>
          <w:i/>
          <w:iCs/>
          <w:lang w:val="en-US"/>
        </w:rPr>
        <w:t>.</w:t>
      </w:r>
    </w:p>
    <w:p w14:paraId="7B3D74C3" w14:textId="18B5CFF6" w:rsidR="00D106D6" w:rsidRDefault="00FE5C32" w:rsidP="00FE5C32">
      <w:pPr>
        <w:pStyle w:val="af6"/>
        <w:jc w:val="both"/>
        <w:rPr>
          <w:b/>
          <w:bCs/>
          <w:i/>
          <w:iCs/>
          <w:lang w:val="en-US"/>
        </w:rPr>
      </w:pPr>
      <w:r>
        <w:rPr>
          <w:rFonts w:hint="eastAsia"/>
          <w:b/>
          <w:bCs/>
          <w:i/>
          <w:iCs/>
          <w:lang w:val="en-US"/>
        </w:rPr>
        <w:t>P</w:t>
      </w:r>
      <w:r>
        <w:rPr>
          <w:b/>
          <w:bCs/>
          <w:i/>
          <w:iCs/>
          <w:lang w:val="en-US"/>
        </w:rPr>
        <w:t xml:space="preserve">roposal 4-2: No limitation on the adopted spectrum confinement techniques, </w:t>
      </w:r>
      <w:r w:rsidRPr="00792328">
        <w:rPr>
          <w:b/>
          <w:bCs/>
          <w:i/>
          <w:iCs/>
          <w:lang w:val="en-US"/>
        </w:rPr>
        <w:t>provided that companies clearly declare the techniques used in their evaluations</w:t>
      </w:r>
      <w:r>
        <w:rPr>
          <w:b/>
          <w:bCs/>
          <w:i/>
          <w:iCs/>
          <w:lang w:val="en-US"/>
        </w:rPr>
        <w:t>.</w:t>
      </w:r>
    </w:p>
    <w:p w14:paraId="0340C9B7" w14:textId="0430291C" w:rsidR="009D45A5" w:rsidRPr="00B102EE" w:rsidRDefault="009D45A5" w:rsidP="009D45A5">
      <w:pPr>
        <w:spacing w:after="0"/>
        <w:jc w:val="both"/>
        <w:rPr>
          <w:b/>
          <w:i/>
          <w:u w:val="single"/>
          <w:lang w:val="en-US" w:eastAsia="en-US"/>
        </w:rPr>
      </w:pPr>
      <w:r>
        <w:rPr>
          <w:b/>
          <w:i/>
          <w:highlight w:val="lightGray"/>
          <w:u w:val="single"/>
          <w:lang w:val="en-US"/>
        </w:rPr>
        <w:t>Flexible channel bandwidth</w:t>
      </w:r>
    </w:p>
    <w:p w14:paraId="0631BDB4" w14:textId="143A8A71" w:rsidR="009D45A5" w:rsidRPr="009D45A5" w:rsidRDefault="009D45A5" w:rsidP="009D45A5">
      <w:pPr>
        <w:pStyle w:val="ae"/>
        <w:snapToGrid w:val="0"/>
        <w:jc w:val="both"/>
        <w:rPr>
          <w:i/>
        </w:rPr>
      </w:pPr>
      <w:r w:rsidRPr="009D45A5">
        <w:rPr>
          <w:i/>
        </w:rPr>
        <w:t xml:space="preserve">Observation </w:t>
      </w:r>
      <w:r w:rsidR="00FE5C32">
        <w:rPr>
          <w:i/>
        </w:rPr>
        <w:t>5-1</w:t>
      </w:r>
      <w:r w:rsidRPr="009D45A5">
        <w:rPr>
          <w:i/>
        </w:rPr>
        <w:t xml:space="preserve">: </w:t>
      </w:r>
      <w:r w:rsidRPr="009D45A5">
        <w:rPr>
          <w:b w:val="0"/>
          <w:bCs/>
          <w:i/>
        </w:rPr>
        <w:t>A generic approach to handle irregular channel bandwidth may help to reduce the number of regular channel bandwidths be supported for 6G UE.</w:t>
      </w:r>
    </w:p>
    <w:p w14:paraId="43EFBBB7" w14:textId="13A6D4A3" w:rsidR="009D45A5" w:rsidRPr="009D45A5" w:rsidRDefault="009D45A5" w:rsidP="009D45A5">
      <w:pPr>
        <w:jc w:val="both"/>
        <w:rPr>
          <w:b/>
          <w:bCs/>
          <w:i/>
          <w:iCs/>
          <w:lang w:val="en-US"/>
        </w:rPr>
      </w:pPr>
      <w:r w:rsidRPr="009D45A5">
        <w:rPr>
          <w:b/>
          <w:bCs/>
          <w:i/>
          <w:iCs/>
          <w:lang w:val="en-US"/>
        </w:rPr>
        <w:t xml:space="preserve">Proposal </w:t>
      </w:r>
      <w:r w:rsidR="00FE5C32">
        <w:rPr>
          <w:b/>
          <w:bCs/>
          <w:i/>
          <w:iCs/>
          <w:lang w:val="en-US"/>
        </w:rPr>
        <w:t>5-1</w:t>
      </w:r>
      <w:r w:rsidRPr="009D45A5">
        <w:rPr>
          <w:b/>
          <w:bCs/>
          <w:i/>
          <w:iCs/>
          <w:lang w:val="en-US"/>
        </w:rPr>
        <w:t xml:space="preserve">: It is proposed to study a generic solution with the goal of reducing the number of regular channel bandwidths. </w:t>
      </w:r>
    </w:p>
    <w:p w14:paraId="3150C921" w14:textId="2D938620" w:rsidR="009D45A5" w:rsidRPr="0040365B" w:rsidRDefault="009D45A5" w:rsidP="00680EED">
      <w:pPr>
        <w:pStyle w:val="af6"/>
        <w:jc w:val="both"/>
        <w:rPr>
          <w:b/>
          <w:i/>
          <w:lang w:val="en-US" w:eastAsia="en-US"/>
        </w:rPr>
      </w:pPr>
      <w:r w:rsidRPr="009D45A5">
        <w:rPr>
          <w:b/>
          <w:bCs/>
          <w:i/>
          <w:iCs/>
          <w:lang w:val="en-US"/>
        </w:rPr>
        <w:t xml:space="preserve">Proposal </w:t>
      </w:r>
      <w:r w:rsidR="00FE5C32">
        <w:rPr>
          <w:b/>
          <w:bCs/>
          <w:i/>
          <w:iCs/>
          <w:lang w:val="en-US"/>
        </w:rPr>
        <w:t>5-2</w:t>
      </w:r>
      <w:r w:rsidRPr="009D45A5">
        <w:rPr>
          <w:b/>
          <w:bCs/>
          <w:i/>
          <w:iCs/>
          <w:lang w:val="en-US"/>
        </w:rPr>
        <w:t>: it is proposed to study whether/how larger CBW scheme can apply to UL and avoid to introduction of asymmetric bandwidth combinations.</w:t>
      </w:r>
    </w:p>
    <w:p w14:paraId="19B071DD" w14:textId="77777777" w:rsidR="00B22DA6" w:rsidRDefault="00B22DA6" w:rsidP="006272FF">
      <w:pPr>
        <w:pStyle w:val="1"/>
        <w:numPr>
          <w:ilvl w:val="0"/>
          <w:numId w:val="0"/>
        </w:numPr>
        <w:jc w:val="both"/>
        <w:rPr>
          <w:rFonts w:eastAsia="宋体"/>
          <w:lang w:eastAsia="zh-CN"/>
        </w:rPr>
      </w:pPr>
      <w:r>
        <w:lastRenderedPageBreak/>
        <w:t>References</w:t>
      </w:r>
    </w:p>
    <w:p w14:paraId="210CF491" w14:textId="0CE8F85F" w:rsidR="00C53757" w:rsidRDefault="0035262B" w:rsidP="006272FF">
      <w:pPr>
        <w:jc w:val="both"/>
        <w:rPr>
          <w:lang w:eastAsia="ja-JP"/>
        </w:rPr>
      </w:pPr>
      <w:r>
        <w:rPr>
          <w:rFonts w:hint="eastAsia"/>
        </w:rPr>
        <w:t>[1]</w:t>
      </w:r>
      <w:r w:rsidR="005369EE">
        <w:t xml:space="preserve"> </w:t>
      </w:r>
      <w:r w:rsidR="007E484A" w:rsidRPr="007E484A">
        <w:rPr>
          <w:lang w:eastAsia="ja-JP"/>
        </w:rPr>
        <w:t>R4-2514508</w:t>
      </w:r>
      <w:r w:rsidR="008A30F9">
        <w:rPr>
          <w:lang w:eastAsia="ja-JP"/>
        </w:rPr>
        <w:t>,</w:t>
      </w:r>
      <w:r w:rsidR="007E484A" w:rsidRPr="007E484A">
        <w:rPr>
          <w:lang w:eastAsia="ja-JP"/>
        </w:rPr>
        <w:t xml:space="preserve"> Feature lead summary for [116bis][101] 6G system parameter</w:t>
      </w:r>
    </w:p>
    <w:p w14:paraId="2FDFB449" w14:textId="608D006B" w:rsidR="00763C49" w:rsidRDefault="00763C49" w:rsidP="00763C49">
      <w:pPr>
        <w:jc w:val="both"/>
      </w:pPr>
      <w:r>
        <w:t xml:space="preserve">[2] </w:t>
      </w:r>
      <w:r w:rsidR="007E484A" w:rsidRPr="007E484A">
        <w:t>R4-25146</w:t>
      </w:r>
      <w:r w:rsidR="00BD030F">
        <w:t>41</w:t>
      </w:r>
      <w:r w:rsidR="008A30F9">
        <w:t>,</w:t>
      </w:r>
      <w:r w:rsidR="007E484A" w:rsidRPr="007E484A">
        <w:t xml:space="preserve"> WF on 6GR system parameter</w:t>
      </w:r>
    </w:p>
    <w:p w14:paraId="2EEE06C2" w14:textId="0C8F1657" w:rsidR="00433F97" w:rsidRDefault="00433F97" w:rsidP="00763C49">
      <w:pPr>
        <w:jc w:val="both"/>
      </w:pPr>
      <w:r>
        <w:rPr>
          <w:rFonts w:hint="eastAsia"/>
        </w:rPr>
        <w:t>[</w:t>
      </w:r>
      <w:r>
        <w:t xml:space="preserve">3] </w:t>
      </w:r>
      <w:r w:rsidRPr="00433F97">
        <w:t>R4-2514642</w:t>
      </w:r>
      <w:r>
        <w:t xml:space="preserve">, </w:t>
      </w:r>
      <w:r w:rsidRPr="00433F97">
        <w:t>WF for 6G general RF and UE RF</w:t>
      </w:r>
    </w:p>
    <w:sectPr w:rsidR="00433F97"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525396" w14:textId="77777777" w:rsidR="00E038A3" w:rsidRDefault="00E038A3" w:rsidP="0052762B">
      <w:r>
        <w:separator/>
      </w:r>
    </w:p>
  </w:endnote>
  <w:endnote w:type="continuationSeparator" w:id="0">
    <w:p w14:paraId="10A547D8" w14:textId="77777777" w:rsidR="00E038A3" w:rsidRDefault="00E038A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BD6ED" w14:textId="77777777" w:rsidR="00E038A3" w:rsidRDefault="00E038A3" w:rsidP="0052762B">
      <w:r>
        <w:separator/>
      </w:r>
    </w:p>
  </w:footnote>
  <w:footnote w:type="continuationSeparator" w:id="0">
    <w:p w14:paraId="183BA896" w14:textId="77777777" w:rsidR="00E038A3" w:rsidRDefault="00E038A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B13976"/>
    <w:multiLevelType w:val="hybridMultilevel"/>
    <w:tmpl w:val="AAB8D5AA"/>
    <w:lvl w:ilvl="0" w:tplc="E4426FC6">
      <w:start w:val="1"/>
      <w:numFmt w:val="bullet"/>
      <w:lvlText w:val=""/>
      <w:lvlJc w:val="left"/>
      <w:pPr>
        <w:ind w:left="704" w:hanging="420"/>
      </w:pPr>
      <w:rPr>
        <w:rFonts w:ascii="Wingdings" w:hAnsi="Wingdings" w:hint="default"/>
      </w:rPr>
    </w:lvl>
    <w:lvl w:ilvl="1" w:tplc="843E9E04">
      <w:start w:val="1"/>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471" w:hanging="360"/>
      </w:pPr>
      <w:rPr>
        <w:rFonts w:ascii="Symbol" w:hAnsi="Symbol" w:hint="default"/>
      </w:rPr>
    </w:lvl>
    <w:lvl w:ilvl="1">
      <w:start w:val="1"/>
      <w:numFmt w:val="bullet"/>
      <w:lvlText w:val="o"/>
      <w:lvlJc w:val="left"/>
      <w:pPr>
        <w:ind w:left="1191" w:hanging="360"/>
      </w:pPr>
      <w:rPr>
        <w:rFonts w:ascii="Courier New" w:hAnsi="Courier New" w:cs="Courier New" w:hint="default"/>
      </w:rPr>
    </w:lvl>
    <w:lvl w:ilvl="2">
      <w:start w:val="1"/>
      <w:numFmt w:val="bullet"/>
      <w:lvlText w:val=""/>
      <w:lvlJc w:val="left"/>
      <w:pPr>
        <w:ind w:left="1911" w:hanging="360"/>
      </w:pPr>
      <w:rPr>
        <w:rFonts w:ascii="Wingdings" w:hAnsi="Wingdings" w:hint="default"/>
      </w:rPr>
    </w:lvl>
    <w:lvl w:ilvl="3">
      <w:numFmt w:val="bullet"/>
      <w:lvlText w:val="-"/>
      <w:lvlJc w:val="left"/>
      <w:pPr>
        <w:ind w:left="2631" w:hanging="360"/>
      </w:pPr>
      <w:rPr>
        <w:rFonts w:ascii="Arial" w:eastAsia="Malgun Gothic" w:hAnsi="Arial" w:cs="Arial" w:hint="default"/>
      </w:rPr>
    </w:lvl>
    <w:lvl w:ilvl="4">
      <w:start w:val="1"/>
      <w:numFmt w:val="bullet"/>
      <w:lvlText w:val="o"/>
      <w:lvlJc w:val="left"/>
      <w:pPr>
        <w:ind w:left="3351" w:hanging="360"/>
      </w:pPr>
      <w:rPr>
        <w:rFonts w:ascii="Courier New" w:hAnsi="Courier New" w:cs="Courier New" w:hint="default"/>
      </w:rPr>
    </w:lvl>
    <w:lvl w:ilvl="5">
      <w:start w:val="1"/>
      <w:numFmt w:val="bullet"/>
      <w:lvlText w:val=""/>
      <w:lvlJc w:val="left"/>
      <w:pPr>
        <w:ind w:left="4071" w:hanging="360"/>
      </w:pPr>
      <w:rPr>
        <w:rFonts w:ascii="Wingdings" w:hAnsi="Wingdings" w:hint="default"/>
      </w:rPr>
    </w:lvl>
    <w:lvl w:ilvl="6">
      <w:start w:val="1"/>
      <w:numFmt w:val="bullet"/>
      <w:lvlText w:val=""/>
      <w:lvlJc w:val="left"/>
      <w:pPr>
        <w:ind w:left="4791" w:hanging="360"/>
      </w:pPr>
      <w:rPr>
        <w:rFonts w:ascii="Symbol" w:hAnsi="Symbol" w:hint="default"/>
      </w:rPr>
    </w:lvl>
    <w:lvl w:ilvl="7">
      <w:start w:val="1"/>
      <w:numFmt w:val="bullet"/>
      <w:lvlText w:val="o"/>
      <w:lvlJc w:val="left"/>
      <w:pPr>
        <w:ind w:left="5511" w:hanging="360"/>
      </w:pPr>
      <w:rPr>
        <w:rFonts w:ascii="Courier New" w:hAnsi="Courier New" w:cs="Courier New" w:hint="default"/>
      </w:rPr>
    </w:lvl>
    <w:lvl w:ilvl="8">
      <w:start w:val="1"/>
      <w:numFmt w:val="bullet"/>
      <w:lvlText w:val=""/>
      <w:lvlJc w:val="left"/>
      <w:pPr>
        <w:ind w:left="6231" w:hanging="360"/>
      </w:pPr>
      <w:rPr>
        <w:rFonts w:ascii="Wingdings" w:hAnsi="Wingdings" w:hint="default"/>
      </w:rPr>
    </w:lvl>
  </w:abstractNum>
  <w:abstractNum w:abstractNumId="18"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7F6426C"/>
    <w:multiLevelType w:val="multilevel"/>
    <w:tmpl w:val="77F6426C"/>
    <w:lvl w:ilvl="0">
      <w:start w:val="1"/>
      <w:numFmt w:val="bullet"/>
      <w:lvlText w:val=""/>
      <w:lvlJc w:val="left"/>
      <w:pPr>
        <w:ind w:left="708" w:hanging="360"/>
      </w:pPr>
      <w:rPr>
        <w:rFonts w:ascii="Symbol" w:hAnsi="Symbol" w:cs="Symbol"/>
      </w:rPr>
    </w:lvl>
    <w:lvl w:ilvl="1">
      <w:start w:val="1"/>
      <w:numFmt w:val="bullet"/>
      <w:lvlText w:val="o"/>
      <w:lvlJc w:val="left"/>
      <w:pPr>
        <w:ind w:left="1428" w:hanging="360"/>
      </w:pPr>
      <w:rPr>
        <w:rFonts w:ascii="Courier New" w:hAnsi="Courier New" w:cs="Courier New"/>
      </w:rPr>
    </w:lvl>
    <w:lvl w:ilvl="2">
      <w:start w:val="1"/>
      <w:numFmt w:val="bullet"/>
      <w:lvlText w:val=""/>
      <w:lvlJc w:val="left"/>
      <w:pPr>
        <w:ind w:left="2148" w:hanging="360"/>
      </w:pPr>
      <w:rPr>
        <w:rFonts w:ascii="Wingdings" w:hAnsi="Wingdings" w:cs="Wingdings" w:hint="default"/>
      </w:rPr>
    </w:lvl>
    <w:lvl w:ilvl="3">
      <w:numFmt w:val="bullet"/>
      <w:lvlText w:val="-"/>
      <w:lvlJc w:val="left"/>
      <w:pPr>
        <w:ind w:left="2868" w:hanging="360"/>
      </w:pPr>
      <w:rPr>
        <w:rFonts w:ascii="Arial" w:eastAsia="Malgun Gothic" w:hAnsi="Arial" w:cs="Arial"/>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cs="Wingdings" w:hint="default"/>
      </w:rPr>
    </w:lvl>
    <w:lvl w:ilvl="6">
      <w:start w:val="1"/>
      <w:numFmt w:val="bullet"/>
      <w:lvlText w:val=""/>
      <w:lvlJc w:val="left"/>
      <w:pPr>
        <w:ind w:left="5028" w:hanging="360"/>
      </w:pPr>
      <w:rPr>
        <w:rFonts w:ascii="Symbol" w:hAnsi="Symbol" w:cs="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cs="Wingdings" w:hint="default"/>
      </w:rPr>
    </w:lvl>
  </w:abstractNum>
  <w:abstractNum w:abstractNumId="2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21"/>
  </w:num>
  <w:num w:numId="5">
    <w:abstractNumId w:val="20"/>
  </w:num>
  <w:num w:numId="6">
    <w:abstractNumId w:val="10"/>
  </w:num>
  <w:num w:numId="7">
    <w:abstractNumId w:val="15"/>
  </w:num>
  <w:num w:numId="8">
    <w:abstractNumId w:val="24"/>
  </w:num>
  <w:num w:numId="9">
    <w:abstractNumId w:val="9"/>
  </w:num>
  <w:num w:numId="10">
    <w:abstractNumId w:val="5"/>
  </w:num>
  <w:num w:numId="11">
    <w:abstractNumId w:val="8"/>
  </w:num>
  <w:num w:numId="12">
    <w:abstractNumId w:val="0"/>
  </w:num>
  <w:num w:numId="13">
    <w:abstractNumId w:val="1"/>
  </w:num>
  <w:num w:numId="14">
    <w:abstractNumId w:val="6"/>
  </w:num>
  <w:num w:numId="15">
    <w:abstractNumId w:val="6"/>
  </w:num>
  <w:num w:numId="16">
    <w:abstractNumId w:val="6"/>
  </w:num>
  <w:num w:numId="17">
    <w:abstractNumId w:val="6"/>
  </w:num>
  <w:num w:numId="18">
    <w:abstractNumId w:val="17"/>
  </w:num>
  <w:num w:numId="19">
    <w:abstractNumId w:val="13"/>
  </w:num>
  <w:num w:numId="20">
    <w:abstractNumId w:val="4"/>
  </w:num>
  <w:num w:numId="21">
    <w:abstractNumId w:val="3"/>
  </w:num>
  <w:num w:numId="22">
    <w:abstractNumId w:val="14"/>
  </w:num>
  <w:num w:numId="23">
    <w:abstractNumId w:val="19"/>
  </w:num>
  <w:num w:numId="24">
    <w:abstractNumId w:val="2"/>
  </w:num>
  <w:num w:numId="25">
    <w:abstractNumId w:val="23"/>
  </w:num>
  <w:num w:numId="26">
    <w:abstractNumId w:val="7"/>
  </w:num>
  <w:num w:numId="27">
    <w:abstractNumId w:val="18"/>
  </w:num>
  <w:num w:numId="28">
    <w:abstractNumId w:val="22"/>
  </w:num>
  <w:num w:numId="29">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4F"/>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3ECE"/>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68A"/>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36"/>
    <w:rsid w:val="001076AC"/>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4A6F"/>
    <w:rsid w:val="00146015"/>
    <w:rsid w:val="001460BE"/>
    <w:rsid w:val="001462C7"/>
    <w:rsid w:val="00150AB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CE"/>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409"/>
    <w:rsid w:val="002758C5"/>
    <w:rsid w:val="00275B69"/>
    <w:rsid w:val="00276121"/>
    <w:rsid w:val="0027699C"/>
    <w:rsid w:val="00276A44"/>
    <w:rsid w:val="00276B9B"/>
    <w:rsid w:val="002775AA"/>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89A"/>
    <w:rsid w:val="002F38D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3F2"/>
    <w:rsid w:val="003326E0"/>
    <w:rsid w:val="00332A3B"/>
    <w:rsid w:val="00332E63"/>
    <w:rsid w:val="0033353B"/>
    <w:rsid w:val="0033380C"/>
    <w:rsid w:val="003340DC"/>
    <w:rsid w:val="003343B0"/>
    <w:rsid w:val="003348A3"/>
    <w:rsid w:val="0033529C"/>
    <w:rsid w:val="00335734"/>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367"/>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EC0"/>
    <w:rsid w:val="0039607A"/>
    <w:rsid w:val="0039647A"/>
    <w:rsid w:val="003967B5"/>
    <w:rsid w:val="00396825"/>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67A1"/>
    <w:rsid w:val="003E6AB4"/>
    <w:rsid w:val="003E7926"/>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5F8"/>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D7FE3"/>
    <w:rsid w:val="004E0144"/>
    <w:rsid w:val="004E0D66"/>
    <w:rsid w:val="004E23A7"/>
    <w:rsid w:val="004E2554"/>
    <w:rsid w:val="004E2E59"/>
    <w:rsid w:val="004E46A3"/>
    <w:rsid w:val="004E5335"/>
    <w:rsid w:val="004E5418"/>
    <w:rsid w:val="004E61B6"/>
    <w:rsid w:val="004E6B02"/>
    <w:rsid w:val="004E76F5"/>
    <w:rsid w:val="004F04BB"/>
    <w:rsid w:val="004F16E2"/>
    <w:rsid w:val="004F1F4D"/>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173"/>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51"/>
    <w:rsid w:val="005873F2"/>
    <w:rsid w:val="00587942"/>
    <w:rsid w:val="00590164"/>
    <w:rsid w:val="005902F9"/>
    <w:rsid w:val="00590995"/>
    <w:rsid w:val="00590BE8"/>
    <w:rsid w:val="00590EBF"/>
    <w:rsid w:val="00591628"/>
    <w:rsid w:val="00592794"/>
    <w:rsid w:val="0059288B"/>
    <w:rsid w:val="005929A6"/>
    <w:rsid w:val="00592BDF"/>
    <w:rsid w:val="00592EA2"/>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FF5"/>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A3"/>
    <w:rsid w:val="00675F92"/>
    <w:rsid w:val="0067691F"/>
    <w:rsid w:val="006772B6"/>
    <w:rsid w:val="00677371"/>
    <w:rsid w:val="0067751B"/>
    <w:rsid w:val="00680B4A"/>
    <w:rsid w:val="00680EED"/>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399F"/>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104"/>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01E"/>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7CF"/>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C8"/>
    <w:rsid w:val="008F7628"/>
    <w:rsid w:val="008F7A87"/>
    <w:rsid w:val="008F7F50"/>
    <w:rsid w:val="009008D9"/>
    <w:rsid w:val="00900932"/>
    <w:rsid w:val="00901689"/>
    <w:rsid w:val="00901715"/>
    <w:rsid w:val="00901A00"/>
    <w:rsid w:val="00902619"/>
    <w:rsid w:val="00902EDF"/>
    <w:rsid w:val="009031F3"/>
    <w:rsid w:val="009033A2"/>
    <w:rsid w:val="00903DFB"/>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4CC2"/>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2A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5A5"/>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61BA"/>
    <w:rsid w:val="00B0658C"/>
    <w:rsid w:val="00B073C8"/>
    <w:rsid w:val="00B07493"/>
    <w:rsid w:val="00B07565"/>
    <w:rsid w:val="00B077B0"/>
    <w:rsid w:val="00B100C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264"/>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76"/>
    <w:rsid w:val="00C418EF"/>
    <w:rsid w:val="00C41922"/>
    <w:rsid w:val="00C41D95"/>
    <w:rsid w:val="00C4283F"/>
    <w:rsid w:val="00C42FD8"/>
    <w:rsid w:val="00C437F1"/>
    <w:rsid w:val="00C43D1B"/>
    <w:rsid w:val="00C44614"/>
    <w:rsid w:val="00C44D3D"/>
    <w:rsid w:val="00C45A95"/>
    <w:rsid w:val="00C4690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5E4"/>
    <w:rsid w:val="00CB1902"/>
    <w:rsid w:val="00CB1F9F"/>
    <w:rsid w:val="00CB21F8"/>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BEE"/>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0EA"/>
    <w:rsid w:val="00CE66DC"/>
    <w:rsid w:val="00CE6D23"/>
    <w:rsid w:val="00CE72B9"/>
    <w:rsid w:val="00CE752E"/>
    <w:rsid w:val="00CE7BE0"/>
    <w:rsid w:val="00CF0CC0"/>
    <w:rsid w:val="00CF11D3"/>
    <w:rsid w:val="00CF12AA"/>
    <w:rsid w:val="00CF15E7"/>
    <w:rsid w:val="00CF1682"/>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335"/>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C11"/>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3221"/>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827"/>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0B9"/>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50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A3"/>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B6"/>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F3A"/>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705"/>
    <w:rsid w:val="00FD0DDD"/>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523"/>
    <w:rsid w:val="00FD760B"/>
    <w:rsid w:val="00FE22EE"/>
    <w:rsid w:val="00FE25A2"/>
    <w:rsid w:val="00FE3B7A"/>
    <w:rsid w:val="00FE3F17"/>
    <w:rsid w:val="00FE422E"/>
    <w:rsid w:val="00FE46F2"/>
    <w:rsid w:val="00FE4A80"/>
    <w:rsid w:val="00FE5004"/>
    <w:rsid w:val="00FE5C32"/>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9C12A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列,목록"/>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C635E2-AC0A-437F-86A2-0A1A682A8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TotalTime>
  <Pages>7</Pages>
  <Words>2964</Words>
  <Characters>16899</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19824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Huawei</cp:lastModifiedBy>
  <cp:revision>3</cp:revision>
  <cp:lastPrinted>2010-01-07T02:23:00Z</cp:lastPrinted>
  <dcterms:created xsi:type="dcterms:W3CDTF">2026-01-30T09:22:00Z</dcterms:created>
  <dcterms:modified xsi:type="dcterms:W3CDTF">2026-01-30T09:22:00Z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1767487322</vt:lpwstr>
  </property>
</Properties>
</file>